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7B" w:rsidRPr="00D94548" w:rsidRDefault="00A906B6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>Приложение</w:t>
      </w:r>
      <w:r w:rsidR="009B467B" w:rsidRPr="00D94548">
        <w:rPr>
          <w:rFonts w:ascii="Times New Roman" w:hAnsi="Times New Roman" w:cs="Times New Roman"/>
          <w:sz w:val="28"/>
          <w:szCs w:val="28"/>
        </w:rPr>
        <w:t xml:space="preserve"> к приказу</w:t>
      </w:r>
    </w:p>
    <w:p w:rsidR="00A906B6" w:rsidRPr="00D94548" w:rsidRDefault="00A906B6" w:rsidP="00D94548">
      <w:pPr>
        <w:spacing w:after="0" w:line="240" w:lineRule="auto"/>
        <w:ind w:left="10206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от </w:t>
      </w:r>
      <w:r w:rsidR="0054372D" w:rsidRPr="00D94548">
        <w:rPr>
          <w:rFonts w:ascii="Times New Roman" w:hAnsi="Times New Roman" w:cs="Times New Roman"/>
          <w:sz w:val="28"/>
          <w:szCs w:val="28"/>
        </w:rPr>
        <w:t>«</w:t>
      </w:r>
      <w:r w:rsidR="0046452B">
        <w:rPr>
          <w:rFonts w:ascii="Times New Roman" w:hAnsi="Times New Roman" w:cs="Times New Roman"/>
          <w:sz w:val="28"/>
          <w:szCs w:val="28"/>
        </w:rPr>
        <w:t>04</w:t>
      </w:r>
      <w:r w:rsidR="0054372D" w:rsidRPr="00D94548">
        <w:rPr>
          <w:rFonts w:ascii="Times New Roman" w:hAnsi="Times New Roman" w:cs="Times New Roman"/>
          <w:sz w:val="28"/>
          <w:szCs w:val="28"/>
        </w:rPr>
        <w:t>»</w:t>
      </w:r>
      <w:r w:rsidR="006207E7">
        <w:rPr>
          <w:rFonts w:ascii="Times New Roman" w:hAnsi="Times New Roman" w:cs="Times New Roman"/>
          <w:sz w:val="28"/>
          <w:szCs w:val="28"/>
        </w:rPr>
        <w:t xml:space="preserve"> </w:t>
      </w:r>
      <w:r w:rsidR="0046452B">
        <w:rPr>
          <w:rFonts w:ascii="Times New Roman" w:hAnsi="Times New Roman" w:cs="Times New Roman"/>
          <w:sz w:val="28"/>
          <w:szCs w:val="28"/>
        </w:rPr>
        <w:t>июня</w:t>
      </w:r>
      <w:r w:rsidR="0054372D" w:rsidRPr="00D94548">
        <w:rPr>
          <w:rFonts w:ascii="Times New Roman" w:hAnsi="Times New Roman" w:cs="Times New Roman"/>
          <w:sz w:val="28"/>
          <w:szCs w:val="28"/>
        </w:rPr>
        <w:t xml:space="preserve"> 201</w:t>
      </w:r>
      <w:r w:rsidR="006207E7">
        <w:rPr>
          <w:rFonts w:ascii="Times New Roman" w:hAnsi="Times New Roman" w:cs="Times New Roman"/>
          <w:sz w:val="28"/>
          <w:szCs w:val="28"/>
        </w:rPr>
        <w:t>8</w:t>
      </w:r>
      <w:r w:rsidR="0054372D" w:rsidRPr="00D94548">
        <w:rPr>
          <w:rFonts w:ascii="Times New Roman" w:hAnsi="Times New Roman" w:cs="Times New Roman"/>
          <w:sz w:val="28"/>
          <w:szCs w:val="28"/>
        </w:rPr>
        <w:t xml:space="preserve"> г.</w:t>
      </w:r>
      <w:r w:rsidR="006207E7" w:rsidRPr="006207E7">
        <w:rPr>
          <w:rFonts w:ascii="Times New Roman" w:hAnsi="Times New Roman" w:cs="Times New Roman"/>
          <w:sz w:val="28"/>
          <w:szCs w:val="28"/>
        </w:rPr>
        <w:t xml:space="preserve"> </w:t>
      </w:r>
      <w:r w:rsidR="006207E7" w:rsidRPr="00D94548">
        <w:rPr>
          <w:rFonts w:ascii="Times New Roman" w:hAnsi="Times New Roman" w:cs="Times New Roman"/>
          <w:sz w:val="28"/>
          <w:szCs w:val="28"/>
        </w:rPr>
        <w:t xml:space="preserve">№ </w:t>
      </w:r>
      <w:r w:rsidR="0046452B">
        <w:rPr>
          <w:rFonts w:ascii="Times New Roman" w:hAnsi="Times New Roman" w:cs="Times New Roman"/>
          <w:sz w:val="28"/>
          <w:szCs w:val="28"/>
        </w:rPr>
        <w:t>193</w:t>
      </w: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0D7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 xml:space="preserve">Перечень товаров, работ, услуг, закупки которых осуществляются </w:t>
      </w:r>
    </w:p>
    <w:p w:rsidR="00536E69" w:rsidRPr="00D94548" w:rsidRDefault="00536E69" w:rsidP="00A906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548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  <w:r w:rsidR="0086061A" w:rsidRPr="00D94548">
        <w:rPr>
          <w:rStyle w:val="a9"/>
          <w:rFonts w:ascii="Times New Roman" w:hAnsi="Times New Roman" w:cs="Times New Roman"/>
          <w:b/>
          <w:sz w:val="28"/>
          <w:szCs w:val="28"/>
        </w:rPr>
        <w:footnoteReference w:id="1"/>
      </w:r>
    </w:p>
    <w:p w:rsidR="00A906B6" w:rsidRPr="00D94548" w:rsidRDefault="00A906B6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2AE1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4548">
        <w:rPr>
          <w:rFonts w:ascii="Times New Roman" w:hAnsi="Times New Roman" w:cs="Times New Roman"/>
          <w:sz w:val="28"/>
          <w:szCs w:val="28"/>
        </w:rPr>
        <w:t xml:space="preserve">ОБЩЕРОССИЙСКИЙ КЛАССИФИКАТОР ПРОДУКЦИИ ПО ВИДАМ ЭКОНОМИЧЕСКОЙ ДЕЯТЕЛЬНОСТИ </w:t>
      </w:r>
    </w:p>
    <w:p w:rsidR="00A906B6" w:rsidRDefault="003836B4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94548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D94548">
        <w:rPr>
          <w:rFonts w:ascii="Times New Roman" w:hAnsi="Times New Roman" w:cs="Times New Roman"/>
          <w:sz w:val="28"/>
          <w:szCs w:val="28"/>
        </w:rPr>
        <w:t xml:space="preserve"> 034-2014 (КПЕС 2008) (ОКПД2)</w:t>
      </w:r>
    </w:p>
    <w:p w:rsidR="009043AD" w:rsidRPr="00D94548" w:rsidRDefault="009043AD" w:rsidP="00A906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83" w:type="dxa"/>
        <w:tblLayout w:type="fixed"/>
        <w:tblLook w:val="04A0" w:firstRow="1" w:lastRow="0" w:firstColumn="1" w:lastColumn="0" w:noHBand="0" w:noVBand="1"/>
      </w:tblPr>
      <w:tblGrid>
        <w:gridCol w:w="3227"/>
        <w:gridCol w:w="3827"/>
        <w:gridCol w:w="2693"/>
        <w:gridCol w:w="4536"/>
      </w:tblGrid>
      <w:tr w:rsidR="00DC33AF" w:rsidRPr="00D94548" w:rsidTr="00DC33AF">
        <w:trPr>
          <w:trHeight w:val="1333"/>
        </w:trPr>
        <w:tc>
          <w:tcPr>
            <w:tcW w:w="3227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Раздел видов продукции и услуг</w:t>
            </w:r>
          </w:p>
        </w:tc>
        <w:tc>
          <w:tcPr>
            <w:tcW w:w="3827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Класс видов продукции и услуг</w:t>
            </w:r>
          </w:p>
        </w:tc>
        <w:tc>
          <w:tcPr>
            <w:tcW w:w="2693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Подклассы видов продукции и услуг</w:t>
            </w:r>
          </w:p>
        </w:tc>
        <w:tc>
          <w:tcPr>
            <w:tcW w:w="4536" w:type="dxa"/>
          </w:tcPr>
          <w:p w:rsidR="00DC33AF" w:rsidRPr="00D94548" w:rsidRDefault="00DC33AF" w:rsidP="0021031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Наименование товаров, работ, услуг</w:t>
            </w:r>
            <w:r w:rsidRPr="00D9454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  <w:t xml:space="preserve"> (согласно ОКПД 2)</w:t>
            </w:r>
          </w:p>
        </w:tc>
      </w:tr>
      <w:tr w:rsidR="00DC33AF" w:rsidRPr="00D94548" w:rsidTr="00DC33AF">
        <w:trPr>
          <w:trHeight w:val="697"/>
        </w:trPr>
        <w:tc>
          <w:tcPr>
            <w:tcW w:w="3227" w:type="dxa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B Продукция горнодобывающих производств</w:t>
            </w: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08. </w:t>
            </w:r>
            <w:hyperlink r:id="rId8" w:history="1">
              <w:r w:rsidRPr="00D94548">
                <w:rPr>
                  <w:rFonts w:ascii="Times New Roman" w:hAnsi="Times New Roman" w:cs="Times New Roman"/>
                  <w:sz w:val="28"/>
                  <w:szCs w:val="28"/>
                </w:rPr>
                <w:t>Продукция горнодобывающих произво</w:t>
              </w:r>
              <w:proofErr w:type="gramStart"/>
              <w:r w:rsidRPr="00D94548">
                <w:rPr>
                  <w:rFonts w:ascii="Times New Roman" w:hAnsi="Times New Roman" w:cs="Times New Roman"/>
                  <w:sz w:val="28"/>
                  <w:szCs w:val="28"/>
                </w:rPr>
                <w:t>дств пр</w:t>
              </w:r>
              <w:proofErr w:type="gramEnd"/>
              <w:r w:rsidRPr="00D94548">
                <w:rPr>
                  <w:rFonts w:ascii="Times New Roman" w:hAnsi="Times New Roman" w:cs="Times New Roman"/>
                  <w:sz w:val="28"/>
                  <w:szCs w:val="28"/>
                </w:rPr>
                <w:t>очая</w:t>
              </w:r>
            </w:hyperlink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08.12</w:t>
            </w:r>
          </w:p>
        </w:tc>
        <w:tc>
          <w:tcPr>
            <w:tcW w:w="4536" w:type="dxa"/>
          </w:tcPr>
          <w:p w:rsidR="00DC33AF" w:rsidRPr="00D94548" w:rsidRDefault="009043AD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43AD">
              <w:rPr>
                <w:rFonts w:ascii="Times New Roman" w:hAnsi="Times New Roman" w:cs="Times New Roman"/>
                <w:sz w:val="28"/>
                <w:szCs w:val="28"/>
              </w:rPr>
              <w:t>Гравий, песок, глины и каолин</w:t>
            </w:r>
          </w:p>
        </w:tc>
      </w:tr>
      <w:tr w:rsidR="00DC33AF" w:rsidRPr="00D94548" w:rsidTr="00DC33AF">
        <w:trPr>
          <w:trHeight w:val="413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Продукция</w:t>
            </w:r>
            <w:proofErr w:type="gramEnd"/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обрабатывающих производств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20. Вещества химические и продукты химические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20.30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DC33AF" w:rsidRPr="00D94548" w:rsidTr="00DC33AF">
        <w:trPr>
          <w:trHeight w:val="614"/>
        </w:trPr>
        <w:tc>
          <w:tcPr>
            <w:tcW w:w="3227" w:type="dxa"/>
            <w:vMerge/>
          </w:tcPr>
          <w:p w:rsidR="00DC33AF" w:rsidRPr="00D94548" w:rsidRDefault="00DC33AF" w:rsidP="00930C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27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23. Продукты минеральные неметаллические прочие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23.99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Продукция минеральная неметаллическая прочая, не включенная в другие группировки</w:t>
            </w:r>
          </w:p>
        </w:tc>
      </w:tr>
      <w:tr w:rsidR="00DC33AF" w:rsidRPr="00D94548" w:rsidTr="00DC33AF">
        <w:trPr>
          <w:trHeight w:val="651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23.52</w:t>
            </w:r>
          </w:p>
        </w:tc>
        <w:tc>
          <w:tcPr>
            <w:tcW w:w="4536" w:type="dxa"/>
          </w:tcPr>
          <w:p w:rsidR="00DC33AF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Известь и гипс</w:t>
            </w:r>
          </w:p>
          <w:p w:rsidR="00462AE1" w:rsidRDefault="00462AE1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3AD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62AE1" w:rsidRDefault="00462AE1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9043AD" w:rsidRPr="00D94548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24. Металлы основные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24.20.4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Фитинги для труб стальные, </w:t>
            </w:r>
            <w:proofErr w:type="gramStart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кроме</w:t>
            </w:r>
            <w:proofErr w:type="gramEnd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литых</w:t>
            </w: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46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26. Оборудование компьютерное, электронное и оптическое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26.51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Оборудование для измерения, испытаний и навигации</w:t>
            </w: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9043AD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3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27. Оборудование электрическое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27.33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Изделия </w:t>
            </w:r>
            <w:proofErr w:type="spellStart"/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электроустановочные</w:t>
            </w:r>
            <w:proofErr w:type="spellEnd"/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28. Машины и оборудование, не включенные в другие группировки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28.14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Краны и клапаны прочие</w:t>
            </w:r>
          </w:p>
        </w:tc>
      </w:tr>
      <w:tr w:rsidR="00DC33AF" w:rsidRPr="00D94548" w:rsidTr="00462AE1">
        <w:trPr>
          <w:trHeight w:val="322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18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28.25.12.130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Кондиционеры бытовые</w:t>
            </w:r>
          </w:p>
        </w:tc>
      </w:tr>
      <w:tr w:rsidR="00DC33AF" w:rsidRPr="00D94548" w:rsidTr="00DC33AF">
        <w:trPr>
          <w:trHeight w:val="347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31. Мебель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DC33AF" w:rsidRPr="00D94548" w:rsidTr="009043AD">
        <w:trPr>
          <w:trHeight w:val="1393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Сооружения и строительные работы</w:t>
            </w: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 Здания и работы по возведению зданий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41.20.40</w:t>
            </w:r>
          </w:p>
        </w:tc>
        <w:tc>
          <w:tcPr>
            <w:tcW w:w="4536" w:type="dxa"/>
          </w:tcPr>
          <w:p w:rsidR="00DC33AF" w:rsidRPr="009043AD" w:rsidRDefault="009043AD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43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</w:tc>
      </w:tr>
      <w:tr w:rsidR="00DC33AF" w:rsidRPr="00D94548" w:rsidTr="009043AD">
        <w:trPr>
          <w:trHeight w:val="1010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 Сооружения и строительные работы в области гражданского строительства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42.21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42.99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прочих гражданских сооружений, не включенных в другие группировки</w:t>
            </w:r>
          </w:p>
        </w:tc>
      </w:tr>
      <w:tr w:rsidR="00DC33AF" w:rsidRPr="00D94548" w:rsidTr="009043AD">
        <w:trPr>
          <w:trHeight w:val="60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42.22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 Работы строительные специализированные</w:t>
            </w:r>
          </w:p>
        </w:tc>
        <w:tc>
          <w:tcPr>
            <w:tcW w:w="2693" w:type="dxa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Работы строительные специализированные</w:t>
            </w:r>
          </w:p>
        </w:tc>
      </w:tr>
      <w:tr w:rsidR="00DC33AF" w:rsidRPr="00D94548" w:rsidTr="00DC33AF">
        <w:trPr>
          <w:trHeight w:val="509"/>
        </w:trPr>
        <w:tc>
          <w:tcPr>
            <w:tcW w:w="3227" w:type="dxa"/>
            <w:vMerge w:val="restart"/>
          </w:tcPr>
          <w:p w:rsidR="00DC33AF" w:rsidRPr="00AA56A9" w:rsidRDefault="00AA56A9" w:rsidP="00AA5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L</w:t>
            </w:r>
            <w:r w:rsidRPr="00AA56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Услуги связанные с недвижимым имуществом</w:t>
            </w:r>
          </w:p>
        </w:tc>
        <w:tc>
          <w:tcPr>
            <w:tcW w:w="3827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 Услуги по операциям с недвижимым имуществом</w:t>
            </w:r>
          </w:p>
        </w:tc>
        <w:tc>
          <w:tcPr>
            <w:tcW w:w="2693" w:type="dxa"/>
            <w:vMerge w:val="restart"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68.32.13.110</w:t>
            </w:r>
          </w:p>
        </w:tc>
        <w:tc>
          <w:tcPr>
            <w:tcW w:w="4536" w:type="dxa"/>
            <w:vMerge w:val="restart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технической инвентаризации недвижимого имущества нежилого фонда</w:t>
            </w:r>
          </w:p>
          <w:p w:rsidR="00DC33AF" w:rsidRPr="00D94548" w:rsidRDefault="00DC33AF" w:rsidP="0083210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889"/>
        </w:trPr>
        <w:tc>
          <w:tcPr>
            <w:tcW w:w="3227" w:type="dxa"/>
            <w:vMerge/>
          </w:tcPr>
          <w:p w:rsidR="00DC33AF" w:rsidRPr="00D94548" w:rsidRDefault="00DC33AF" w:rsidP="00676F5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C33AF" w:rsidRPr="00D94548" w:rsidTr="00DC33AF">
        <w:trPr>
          <w:trHeight w:val="229"/>
        </w:trPr>
        <w:tc>
          <w:tcPr>
            <w:tcW w:w="3227" w:type="dxa"/>
            <w:vMerge w:val="restart"/>
          </w:tcPr>
          <w:p w:rsidR="00DC33AF" w:rsidRPr="00D94548" w:rsidRDefault="00DC33AF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D94548">
              <w:rPr>
                <w:rFonts w:ascii="Times New Roman" w:hAnsi="Times New Roman" w:cs="Times New Roman"/>
                <w:sz w:val="28"/>
                <w:szCs w:val="28"/>
              </w:rPr>
              <w:t xml:space="preserve"> Услуги, связанные с научной, инженерно-технической и профессиональной деятельностью</w:t>
            </w:r>
          </w:p>
        </w:tc>
        <w:tc>
          <w:tcPr>
            <w:tcW w:w="3827" w:type="dxa"/>
            <w:vMerge w:val="restart"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 Услуги в области архитектуры и инженерно-технического проектирования, технических испытаний, исследований и анализа</w:t>
            </w:r>
          </w:p>
        </w:tc>
        <w:tc>
          <w:tcPr>
            <w:tcW w:w="2693" w:type="dxa"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71.11.22.000</w:t>
            </w:r>
          </w:p>
        </w:tc>
        <w:tc>
          <w:tcPr>
            <w:tcW w:w="4536" w:type="dxa"/>
          </w:tcPr>
          <w:p w:rsidR="00DC33AF" w:rsidRPr="00D94548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945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архитектуры, связанные с проектами строительства нежилых зданий и сооружений</w:t>
            </w:r>
          </w:p>
        </w:tc>
      </w:tr>
      <w:tr w:rsidR="0046452B" w:rsidRPr="00D94548" w:rsidTr="00DC33AF">
        <w:trPr>
          <w:trHeight w:val="229"/>
        </w:trPr>
        <w:tc>
          <w:tcPr>
            <w:tcW w:w="3227" w:type="dxa"/>
            <w:vMerge/>
          </w:tcPr>
          <w:p w:rsidR="0046452B" w:rsidRPr="0053795E" w:rsidRDefault="0046452B" w:rsidP="00676F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46452B" w:rsidRPr="0046452B" w:rsidRDefault="0046452B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6452B" w:rsidRPr="0046452B" w:rsidRDefault="0046452B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71.11.3</w:t>
            </w:r>
          </w:p>
        </w:tc>
        <w:tc>
          <w:tcPr>
            <w:tcW w:w="4536" w:type="dxa"/>
          </w:tcPr>
          <w:p w:rsidR="0046452B" w:rsidRPr="0046452B" w:rsidRDefault="0046452B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по территориальному планированию и планировке территории</w:t>
            </w:r>
          </w:p>
        </w:tc>
      </w:tr>
      <w:tr w:rsidR="00DC33AF" w:rsidRPr="00D94548" w:rsidTr="00DC33AF">
        <w:trPr>
          <w:trHeight w:val="413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DC33AF" w:rsidRPr="0046452B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sz w:val="28"/>
                <w:szCs w:val="28"/>
              </w:rPr>
              <w:t>71.12</w:t>
            </w:r>
          </w:p>
        </w:tc>
        <w:tc>
          <w:tcPr>
            <w:tcW w:w="4536" w:type="dxa"/>
            <w:vMerge w:val="restart"/>
          </w:tcPr>
          <w:p w:rsidR="00DC33AF" w:rsidRPr="0046452B" w:rsidRDefault="00DC33AF" w:rsidP="0083210B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645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Услуги в области инженерно-технического проектирования и связанные технические консультативные услуги</w:t>
            </w:r>
          </w:p>
        </w:tc>
      </w:tr>
      <w:tr w:rsidR="00DC33AF" w:rsidRPr="00D94548" w:rsidTr="00DC33AF">
        <w:trPr>
          <w:trHeight w:val="648"/>
        </w:trPr>
        <w:tc>
          <w:tcPr>
            <w:tcW w:w="3227" w:type="dxa"/>
            <w:vMerge/>
          </w:tcPr>
          <w:p w:rsidR="00DC33AF" w:rsidRPr="00D94548" w:rsidRDefault="00DC33AF" w:rsidP="007B256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DC33AF" w:rsidRPr="00D94548" w:rsidRDefault="00DC33AF" w:rsidP="00724AF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E288C" w:rsidRDefault="00FE288C" w:rsidP="0053795E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53795E" w:rsidRPr="00D94548" w:rsidRDefault="0053795E" w:rsidP="005379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Генеральный директор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3E4A27">
        <w:rPr>
          <w:rFonts w:ascii="Times New Roman" w:hAnsi="Times New Roman" w:cs="Times New Roman"/>
          <w:noProof/>
          <w:sz w:val="28"/>
          <w:szCs w:val="28"/>
          <w:lang w:eastAsia="ru-RU"/>
        </w:rPr>
        <w:t>подпись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О.В.Чернюк</w:t>
      </w:r>
    </w:p>
    <w:sectPr w:rsidR="0053795E" w:rsidRPr="00D94548" w:rsidSect="009043A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60E" w:rsidRDefault="00D9260E" w:rsidP="0086061A">
      <w:pPr>
        <w:spacing w:after="0" w:line="240" w:lineRule="auto"/>
      </w:pPr>
      <w:r>
        <w:separator/>
      </w:r>
    </w:p>
  </w:endnote>
  <w:end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60E" w:rsidRDefault="00D9260E" w:rsidP="0086061A">
      <w:pPr>
        <w:spacing w:after="0" w:line="240" w:lineRule="auto"/>
      </w:pPr>
      <w:r>
        <w:separator/>
      </w:r>
    </w:p>
  </w:footnote>
  <w:footnote w:type="continuationSeparator" w:id="0">
    <w:p w:rsidR="00D9260E" w:rsidRDefault="00D9260E" w:rsidP="0086061A">
      <w:pPr>
        <w:spacing w:after="0" w:line="240" w:lineRule="auto"/>
      </w:pPr>
      <w:r>
        <w:continuationSeparator/>
      </w:r>
    </w:p>
  </w:footnote>
  <w:footnote w:id="1">
    <w:p w:rsidR="0086061A" w:rsidRPr="0086061A" w:rsidRDefault="0086061A" w:rsidP="0086061A">
      <w:pPr>
        <w:pStyle w:val="a7"/>
        <w:jc w:val="both"/>
        <w:rPr>
          <w:rFonts w:ascii="Times New Roman" w:hAnsi="Times New Roman" w:cs="Times New Roman"/>
        </w:rPr>
      </w:pPr>
      <w:r w:rsidRPr="0086061A">
        <w:rPr>
          <w:rStyle w:val="a9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Общество обязано осуществить закупку товаров, работ, услуг, включенных в настоящий Перечень, </w:t>
      </w:r>
      <w:r w:rsidR="00F27932">
        <w:rPr>
          <w:rFonts w:ascii="Times New Roman" w:hAnsi="Times New Roman" w:cs="Times New Roman"/>
        </w:rPr>
        <w:t xml:space="preserve">только у субъектов малого и среднего предпринимательства, </w:t>
      </w:r>
      <w:r>
        <w:rPr>
          <w:rFonts w:ascii="Times New Roman" w:hAnsi="Times New Roman" w:cs="Times New Roman"/>
        </w:rPr>
        <w:t xml:space="preserve">если начальная (максимальная) цена договора (цена лота) составляет до </w:t>
      </w:r>
      <w:r w:rsidR="003836B4">
        <w:rPr>
          <w:rFonts w:ascii="Times New Roman" w:hAnsi="Times New Roman" w:cs="Times New Roman"/>
        </w:rPr>
        <w:t>200</w:t>
      </w:r>
      <w:r>
        <w:rPr>
          <w:rFonts w:ascii="Times New Roman" w:hAnsi="Times New Roman" w:cs="Times New Roman"/>
        </w:rPr>
        <w:t xml:space="preserve"> миллионов рублей. Если начальная (максимальная) цена договора </w:t>
      </w:r>
      <w:r w:rsidR="00F27932">
        <w:rPr>
          <w:rFonts w:ascii="Times New Roman" w:hAnsi="Times New Roman" w:cs="Times New Roman"/>
        </w:rPr>
        <w:t xml:space="preserve">превышает </w:t>
      </w:r>
      <w:r w:rsidR="003836B4">
        <w:rPr>
          <w:rFonts w:ascii="Times New Roman" w:hAnsi="Times New Roman" w:cs="Times New Roman"/>
        </w:rPr>
        <w:t>200</w:t>
      </w:r>
      <w:r w:rsidR="00F27932">
        <w:rPr>
          <w:rFonts w:ascii="Times New Roman" w:hAnsi="Times New Roman" w:cs="Times New Roman"/>
        </w:rPr>
        <w:t xml:space="preserve"> мил</w:t>
      </w:r>
      <w:r w:rsidR="003836B4">
        <w:rPr>
          <w:rFonts w:ascii="Times New Roman" w:hAnsi="Times New Roman" w:cs="Times New Roman"/>
        </w:rPr>
        <w:t>лионов рублей (но не превышает 4</w:t>
      </w:r>
      <w:r w:rsidR="00F27932">
        <w:rPr>
          <w:rFonts w:ascii="Times New Roman" w:hAnsi="Times New Roman" w:cs="Times New Roman"/>
        </w:rPr>
        <w:t xml:space="preserve">00 миллионов рублей), то Общество может осуществить закупку как у субъектов малого и среднего предпринимательства, так и у других лиц.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36"/>
    <w:rsid w:val="000225EF"/>
    <w:rsid w:val="00047D92"/>
    <w:rsid w:val="000726A5"/>
    <w:rsid w:val="000C26A1"/>
    <w:rsid w:val="0012556D"/>
    <w:rsid w:val="00174B26"/>
    <w:rsid w:val="00184F7B"/>
    <w:rsid w:val="001C1369"/>
    <w:rsid w:val="001C6607"/>
    <w:rsid w:val="001E7071"/>
    <w:rsid w:val="0021031A"/>
    <w:rsid w:val="00235777"/>
    <w:rsid w:val="002802C7"/>
    <w:rsid w:val="002B01E9"/>
    <w:rsid w:val="002C77A3"/>
    <w:rsid w:val="00306E36"/>
    <w:rsid w:val="003238EF"/>
    <w:rsid w:val="00353214"/>
    <w:rsid w:val="003836B4"/>
    <w:rsid w:val="00395E60"/>
    <w:rsid w:val="003B3A57"/>
    <w:rsid w:val="003C6AA9"/>
    <w:rsid w:val="003E4A27"/>
    <w:rsid w:val="004010D7"/>
    <w:rsid w:val="00430853"/>
    <w:rsid w:val="004463EB"/>
    <w:rsid w:val="00447DC2"/>
    <w:rsid w:val="00451E41"/>
    <w:rsid w:val="00455814"/>
    <w:rsid w:val="00462AE1"/>
    <w:rsid w:val="0046452B"/>
    <w:rsid w:val="004B276A"/>
    <w:rsid w:val="00536E69"/>
    <w:rsid w:val="0053795E"/>
    <w:rsid w:val="0054372D"/>
    <w:rsid w:val="005748B0"/>
    <w:rsid w:val="005902B3"/>
    <w:rsid w:val="005A33A6"/>
    <w:rsid w:val="005A34E7"/>
    <w:rsid w:val="006207E7"/>
    <w:rsid w:val="00632315"/>
    <w:rsid w:val="0064009C"/>
    <w:rsid w:val="00645B54"/>
    <w:rsid w:val="0067338B"/>
    <w:rsid w:val="00676F52"/>
    <w:rsid w:val="006D2944"/>
    <w:rsid w:val="00712128"/>
    <w:rsid w:val="00724AF9"/>
    <w:rsid w:val="007353EE"/>
    <w:rsid w:val="00784BEB"/>
    <w:rsid w:val="007913E0"/>
    <w:rsid w:val="007B1D80"/>
    <w:rsid w:val="007B2564"/>
    <w:rsid w:val="0083210B"/>
    <w:rsid w:val="00835004"/>
    <w:rsid w:val="00841050"/>
    <w:rsid w:val="008561E3"/>
    <w:rsid w:val="0086061A"/>
    <w:rsid w:val="00894AD6"/>
    <w:rsid w:val="008A397B"/>
    <w:rsid w:val="008A4FBE"/>
    <w:rsid w:val="008C2360"/>
    <w:rsid w:val="0090392C"/>
    <w:rsid w:val="009043AD"/>
    <w:rsid w:val="00917AE6"/>
    <w:rsid w:val="00930C2B"/>
    <w:rsid w:val="00945308"/>
    <w:rsid w:val="00994715"/>
    <w:rsid w:val="009B467B"/>
    <w:rsid w:val="00A6163E"/>
    <w:rsid w:val="00A6201C"/>
    <w:rsid w:val="00A82DA0"/>
    <w:rsid w:val="00A906B6"/>
    <w:rsid w:val="00AA0AF4"/>
    <w:rsid w:val="00AA56A9"/>
    <w:rsid w:val="00B11C49"/>
    <w:rsid w:val="00B11DB9"/>
    <w:rsid w:val="00B33AD0"/>
    <w:rsid w:val="00B82AF2"/>
    <w:rsid w:val="00B83EFA"/>
    <w:rsid w:val="00BA060B"/>
    <w:rsid w:val="00BE1696"/>
    <w:rsid w:val="00BF08C7"/>
    <w:rsid w:val="00C40FF0"/>
    <w:rsid w:val="00C82734"/>
    <w:rsid w:val="00CC6200"/>
    <w:rsid w:val="00CE797B"/>
    <w:rsid w:val="00CF1822"/>
    <w:rsid w:val="00D23725"/>
    <w:rsid w:val="00D35323"/>
    <w:rsid w:val="00D35692"/>
    <w:rsid w:val="00D432DA"/>
    <w:rsid w:val="00D9260E"/>
    <w:rsid w:val="00D94548"/>
    <w:rsid w:val="00DA4C1E"/>
    <w:rsid w:val="00DC33AF"/>
    <w:rsid w:val="00DD633B"/>
    <w:rsid w:val="00DE4879"/>
    <w:rsid w:val="00E01286"/>
    <w:rsid w:val="00E028F9"/>
    <w:rsid w:val="00E74F2B"/>
    <w:rsid w:val="00EF512B"/>
    <w:rsid w:val="00F04AE4"/>
    <w:rsid w:val="00F2642B"/>
    <w:rsid w:val="00F27932"/>
    <w:rsid w:val="00F41404"/>
    <w:rsid w:val="00F7088D"/>
    <w:rsid w:val="00F95D52"/>
    <w:rsid w:val="00FC264B"/>
    <w:rsid w:val="00FC3104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5321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5321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61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6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A397B"/>
    <w:rPr>
      <w:color w:val="0000FF" w:themeColor="hyperlink"/>
      <w:u w:val="single"/>
    </w:rPr>
  </w:style>
  <w:style w:type="paragraph" w:customStyle="1" w:styleId="Style38">
    <w:name w:val="Style3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uiPriority w:val="99"/>
    <w:rsid w:val="005A33A6"/>
    <w:rPr>
      <w:rFonts w:ascii="Times New Roman" w:hAnsi="Times New Roman" w:cs="Times New Roman"/>
      <w:sz w:val="20"/>
      <w:szCs w:val="20"/>
    </w:rPr>
  </w:style>
  <w:style w:type="paragraph" w:customStyle="1" w:styleId="Style18">
    <w:name w:val="Style18"/>
    <w:basedOn w:val="a"/>
    <w:uiPriority w:val="99"/>
    <w:rsid w:val="005A33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76">
    <w:name w:val="Font Style76"/>
    <w:basedOn w:val="a0"/>
    <w:uiPriority w:val="99"/>
    <w:rsid w:val="005A33A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1">
    <w:name w:val="Font Style61"/>
    <w:basedOn w:val="a0"/>
    <w:uiPriority w:val="99"/>
    <w:rsid w:val="00F4140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64">
    <w:name w:val="Font Style64"/>
    <w:basedOn w:val="a0"/>
    <w:uiPriority w:val="99"/>
    <w:rsid w:val="007913E0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"/>
    <w:uiPriority w:val="99"/>
    <w:rsid w:val="00184F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80">
    <w:name w:val="Font Style80"/>
    <w:basedOn w:val="a0"/>
    <w:uiPriority w:val="99"/>
    <w:rsid w:val="00184F7B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81">
    <w:name w:val="Font Style81"/>
    <w:basedOn w:val="a0"/>
    <w:uiPriority w:val="99"/>
    <w:rsid w:val="00184F7B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E0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86061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6061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6061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372D"/>
  </w:style>
  <w:style w:type="paragraph" w:styleId="ac">
    <w:name w:val="footer"/>
    <w:basedOn w:val="a"/>
    <w:link w:val="ad"/>
    <w:uiPriority w:val="99"/>
    <w:unhideWhenUsed/>
    <w:rsid w:val="00543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37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okpd/okpd2/kod08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96086-189A-4781-A2C3-CDF102AB6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374</Words>
  <Characters>2499</Characters>
  <Application>Microsoft Office Word</Application>
  <DocSecurity>0</DocSecurity>
  <Lines>166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GgT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Гаак Алена Николаевна</dc:creator>
  <cp:lastModifiedBy>Сахарова Юлия Викторовна</cp:lastModifiedBy>
  <cp:revision>6</cp:revision>
  <cp:lastPrinted>2018-01-10T06:33:00Z</cp:lastPrinted>
  <dcterms:created xsi:type="dcterms:W3CDTF">2018-06-04T11:04:00Z</dcterms:created>
  <dcterms:modified xsi:type="dcterms:W3CDTF">2018-06-05T03:11:00Z</dcterms:modified>
</cp:coreProperties>
</file>