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CF0" w:rsidRDefault="00E91CF0">
      <w:pPr>
        <w:tabs>
          <w:tab w:val="left" w:pos="992"/>
        </w:tabs>
        <w:jc w:val="both"/>
        <w:rPr>
          <w:b/>
          <w:bCs/>
          <w:color w:val="000000" w:themeColor="text1"/>
          <w:sz w:val="26"/>
          <w:szCs w:val="26"/>
        </w:rPr>
      </w:pPr>
    </w:p>
    <w:p w:rsidR="00E91CF0" w:rsidRDefault="00D54AE3">
      <w:pPr>
        <w:pStyle w:val="Defaul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ЭТАПЫ ПРОВЕДЕНИЯ АУКЦИОНА (ТОРГОВ)</w:t>
      </w:r>
    </w:p>
    <w:p w:rsidR="00E91CF0" w:rsidRDefault="00E91CF0">
      <w:pPr>
        <w:pStyle w:val="Default"/>
        <w:rPr>
          <w:sz w:val="26"/>
          <w:szCs w:val="26"/>
        </w:rPr>
      </w:pPr>
    </w:p>
    <w:p w:rsidR="00E91CF0" w:rsidRDefault="00D54AE3">
      <w:pPr>
        <w:pStyle w:val="aff"/>
        <w:tabs>
          <w:tab w:val="left" w:pos="1134"/>
        </w:tabs>
        <w:spacing w:before="0" w:after="0"/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Подача заявки на участие в аукционе:</w:t>
      </w:r>
    </w:p>
    <w:p w:rsidR="00E91CF0" w:rsidRDefault="00D54AE3">
      <w:pPr>
        <w:pStyle w:val="aff"/>
        <w:tabs>
          <w:tab w:val="left" w:pos="1134"/>
        </w:tabs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ЭТП обеспечивает для Участников торгов функционал подачи заявок на участие в аукционе.</w:t>
      </w:r>
    </w:p>
    <w:p w:rsidR="00E91CF0" w:rsidRDefault="00D54AE3">
      <w:pPr>
        <w:pStyle w:val="aff"/>
        <w:tabs>
          <w:tab w:val="left" w:pos="1134"/>
        </w:tabs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Формирование и направление заявки на участие в процедуре производится Участ</w:t>
      </w:r>
      <w:r>
        <w:rPr>
          <w:sz w:val="26"/>
          <w:szCs w:val="26"/>
        </w:rPr>
        <w:t>ником торгов в соответствии с Руководством пользователя ЭТП, которое размещается в открытой части ЭТП.</w:t>
      </w:r>
    </w:p>
    <w:p w:rsidR="00E91CF0" w:rsidRDefault="00D54AE3">
      <w:pPr>
        <w:pStyle w:val="aff"/>
        <w:tabs>
          <w:tab w:val="left" w:pos="1134"/>
        </w:tabs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 представления (приема) заявок на участие в процедуре определяется Заказчиком в соответствии с данным извещением и документацией к процедуре.</w:t>
      </w:r>
    </w:p>
    <w:p w:rsidR="00E91CF0" w:rsidRDefault="00D54AE3">
      <w:pPr>
        <w:pStyle w:val="aff"/>
        <w:tabs>
          <w:tab w:val="left" w:pos="1134"/>
        </w:tabs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Участни</w:t>
      </w:r>
      <w:r>
        <w:rPr>
          <w:sz w:val="26"/>
          <w:szCs w:val="26"/>
        </w:rPr>
        <w:t xml:space="preserve">к торгов вправе подать заявку на участие в процедуре реализации имущества в любой момент, начиная с момента размещения на сайте площадки извещения о проведении процедуры, и до предусмотренных извещением и документацией о процедуре даты и времени окончания </w:t>
      </w:r>
      <w:r>
        <w:rPr>
          <w:sz w:val="26"/>
          <w:szCs w:val="26"/>
        </w:rPr>
        <w:t>срока подачи заявок. Заявки направляются Участником торгов на ЭТП в форме электронных  документов, подписанных с помощью ЭП, при ее наличии.</w:t>
      </w:r>
    </w:p>
    <w:p w:rsidR="00E91CF0" w:rsidRDefault="00D54AE3">
      <w:pPr>
        <w:pStyle w:val="aff"/>
        <w:tabs>
          <w:tab w:val="left" w:pos="1134"/>
        </w:tabs>
        <w:spacing w:before="0" w:after="0"/>
        <w:ind w:firstLine="709"/>
        <w:jc w:val="both"/>
        <w:rPr>
          <w:spacing w:val="6"/>
          <w:sz w:val="26"/>
          <w:szCs w:val="26"/>
        </w:rPr>
      </w:pPr>
      <w:r>
        <w:rPr>
          <w:spacing w:val="6"/>
          <w:sz w:val="26"/>
          <w:szCs w:val="26"/>
        </w:rPr>
        <w:t xml:space="preserve">По факту поступления на ЭТП заявки на участие в процедуре, ЭТП осуществляет блокировку денежных средств на лицевом </w:t>
      </w:r>
      <w:r>
        <w:rPr>
          <w:spacing w:val="6"/>
          <w:sz w:val="26"/>
          <w:szCs w:val="26"/>
        </w:rPr>
        <w:t xml:space="preserve">счете Участника </w:t>
      </w:r>
      <w:r>
        <w:rPr>
          <w:sz w:val="26"/>
          <w:szCs w:val="26"/>
        </w:rPr>
        <w:t>торгов</w:t>
      </w:r>
      <w:r>
        <w:rPr>
          <w:spacing w:val="6"/>
          <w:sz w:val="26"/>
          <w:szCs w:val="26"/>
        </w:rPr>
        <w:t xml:space="preserve"> в размере суммы обеспечения заявки на участие в процедуре.</w:t>
      </w:r>
    </w:p>
    <w:p w:rsidR="00E91CF0" w:rsidRDefault="00D54AE3">
      <w:pPr>
        <w:pStyle w:val="aff"/>
        <w:tabs>
          <w:tab w:val="left" w:pos="1134"/>
        </w:tabs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Участник торгов вправе отозвать заявку на участие в процедуре не позднее окончания срока подачи заявок в соответствии с Руководством пользователя ЭТП, которое размещается в о</w:t>
      </w:r>
      <w:r>
        <w:rPr>
          <w:sz w:val="26"/>
          <w:szCs w:val="26"/>
        </w:rPr>
        <w:t xml:space="preserve">ткрытой части ЭТП. </w:t>
      </w:r>
    </w:p>
    <w:p w:rsidR="00E91CF0" w:rsidRDefault="00D54AE3">
      <w:pPr>
        <w:pStyle w:val="aff"/>
        <w:tabs>
          <w:tab w:val="left" w:pos="1134"/>
        </w:tabs>
        <w:spacing w:before="0" w:after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Подача заявителем заявки на участие в процедуре является согласием заявителя на списание денежных средств, находящихся на его лицевом счете в качестве платы за участие в процедуре в случае признания такого заявителя победителем, в разме</w:t>
      </w:r>
      <w:r>
        <w:rPr>
          <w:sz w:val="26"/>
          <w:szCs w:val="26"/>
        </w:rPr>
        <w:t>ре, указанном в Регламенте ЭТП ГПБ.</w:t>
      </w:r>
    </w:p>
    <w:p w:rsidR="00E91CF0" w:rsidRDefault="00E91CF0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E91CF0" w:rsidRDefault="00D54AE3">
      <w:pPr>
        <w:pStyle w:val="Default"/>
        <w:tabs>
          <w:tab w:val="left" w:pos="1134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Требования к Участникам:</w:t>
      </w:r>
    </w:p>
    <w:p w:rsidR="00E91CF0" w:rsidRDefault="00D54AE3">
      <w:pPr>
        <w:pStyle w:val="Default"/>
        <w:tabs>
          <w:tab w:val="left" w:pos="1134"/>
        </w:tabs>
        <w:ind w:firstLine="709"/>
        <w:jc w:val="both"/>
        <w:rPr>
          <w:color w:val="auto"/>
          <w:sz w:val="26"/>
          <w:szCs w:val="26"/>
        </w:rPr>
      </w:pPr>
      <w:r>
        <w:rPr>
          <w:sz w:val="26"/>
          <w:szCs w:val="26"/>
        </w:rPr>
        <w:t xml:space="preserve">Для участия в торгах необходимо зарегистрироваться на ЭТП ГПБ и внести </w:t>
      </w:r>
      <w:r>
        <w:rPr>
          <w:color w:val="auto"/>
          <w:sz w:val="26"/>
          <w:szCs w:val="26"/>
        </w:rPr>
        <w:t xml:space="preserve">обеспечение заявки в соответствии с регламентом ЭТП  </w:t>
      </w:r>
      <w:hyperlink r:id="rId8" w:tooltip="https://etp.gpb.ru/" w:history="1">
        <w:r>
          <w:rPr>
            <w:rStyle w:val="af4"/>
            <w:color w:val="auto"/>
            <w:sz w:val="26"/>
            <w:szCs w:val="26"/>
          </w:rPr>
          <w:t>https://e</w:t>
        </w:r>
        <w:r>
          <w:rPr>
            <w:rStyle w:val="af4"/>
            <w:color w:val="auto"/>
            <w:sz w:val="26"/>
            <w:szCs w:val="26"/>
          </w:rPr>
          <w:t>tp.gpb.ru/</w:t>
        </w:r>
      </w:hyperlink>
      <w:r>
        <w:rPr>
          <w:color w:val="auto"/>
          <w:sz w:val="26"/>
          <w:szCs w:val="26"/>
        </w:rPr>
        <w:t xml:space="preserve">. </w:t>
      </w:r>
    </w:p>
    <w:p w:rsidR="00E91CF0" w:rsidRDefault="00D54AE3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установленный в извещении и аукционной документации срок представить: </w:t>
      </w:r>
    </w:p>
    <w:p w:rsidR="00E91CF0" w:rsidRDefault="00D54AE3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заявку на участие в торгах, которая должна содержать следующие сведения: наименование, организационно-правовая форма, место нахождения, почтовый адрес заявителя, банков</w:t>
      </w:r>
      <w:r>
        <w:rPr>
          <w:sz w:val="26"/>
          <w:szCs w:val="26"/>
        </w:rPr>
        <w:t>ские реквизиты, номер ОГРН (для юридического лица); фамилия, имя, отчество, паспортные данные, сведения о месте жительства заявителя (для физического лица); номер контактного телефона, адрес электронной почты заявителя, ИНН; и приложить следующие документы</w:t>
      </w:r>
      <w:r>
        <w:rPr>
          <w:sz w:val="26"/>
          <w:szCs w:val="26"/>
        </w:rPr>
        <w:t xml:space="preserve">: </w:t>
      </w:r>
    </w:p>
    <w:p w:rsidR="00E91CF0" w:rsidRDefault="00D54AE3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1) сканированную копию выписки из ЕГРЮЛ (для юридического лица), выписку из ЕГРИП (для ИП) полученные не позднее, чем за 1 месяц до подачи заявки, сканированные копии документов, удостоверяющих личность (для физического лица и ИП), надлежащим образом за</w:t>
      </w:r>
      <w:r>
        <w:rPr>
          <w:sz w:val="26"/>
          <w:szCs w:val="26"/>
        </w:rPr>
        <w:t>веренного перевода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</w:t>
      </w:r>
      <w:r>
        <w:rPr>
          <w:sz w:val="26"/>
          <w:szCs w:val="26"/>
        </w:rPr>
        <w:t xml:space="preserve">ностранного лица); </w:t>
      </w:r>
    </w:p>
    <w:p w:rsidR="00E91CF0" w:rsidRDefault="00D54AE3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сканированную копию решения об одобрении или о совершении крупной сделки, сделки с заинтересованностью, если требование о необходимости наличия такого решения для совершения крупной сделки или сделки с заинтересованностью </w:t>
      </w:r>
      <w:r>
        <w:rPr>
          <w:sz w:val="26"/>
          <w:szCs w:val="26"/>
        </w:rPr>
        <w:lastRenderedPageBreak/>
        <w:t>установлено</w:t>
      </w:r>
      <w:r>
        <w:rPr>
          <w:sz w:val="26"/>
          <w:szCs w:val="26"/>
        </w:rPr>
        <w:t xml:space="preserve"> законодательством Российской Федерации и (или) учредительными документами юридического лица и если для участника открытых торгов приобретение имущества или внесение задатка является крупной сделкой или сделкой с заинтересованностью; согласие собственника </w:t>
      </w:r>
      <w:r>
        <w:rPr>
          <w:sz w:val="26"/>
          <w:szCs w:val="26"/>
        </w:rPr>
        <w:t xml:space="preserve">государственного или муниципального предприятия в случае, если это необходимо в соответствии с уставом предприятия (для юридического лица); нотариально удостоверенное согласие супруга на приобретение указанного имущества (для физического лица); </w:t>
      </w:r>
    </w:p>
    <w:p w:rsidR="00E91CF0" w:rsidRDefault="00D54AE3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 сканиро</w:t>
      </w:r>
      <w:r>
        <w:rPr>
          <w:sz w:val="26"/>
          <w:szCs w:val="26"/>
        </w:rPr>
        <w:t xml:space="preserve">ванную копию документа, подтверждающего полномочия руководителя; </w:t>
      </w:r>
    </w:p>
    <w:p w:rsidR="00E91CF0" w:rsidRDefault="00D54AE3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4) доверенность или иной документ, подтверждающий полномочия лица, действовать от имени заявителя (в случае подачи заявки уполномоченным лицом); </w:t>
      </w:r>
    </w:p>
    <w:p w:rsidR="00E91CF0" w:rsidRDefault="00D54AE3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 информацию о цепочке собственников, включ</w:t>
      </w:r>
      <w:r>
        <w:rPr>
          <w:sz w:val="26"/>
          <w:szCs w:val="26"/>
        </w:rPr>
        <w:t xml:space="preserve">ая бенефициаров (в том числе конечных), с подтверждением соответствующими документами. </w:t>
      </w:r>
    </w:p>
    <w:p w:rsidR="00E91CF0" w:rsidRDefault="00D54AE3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Непредставление вышеперечисленных документов может служить основанием для недопуска к участию в аукционе.</w:t>
      </w:r>
    </w:p>
    <w:p w:rsidR="00E91CF0" w:rsidRDefault="00E91CF0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</w:p>
    <w:p w:rsidR="00E91CF0" w:rsidRDefault="00D54AE3">
      <w:pPr>
        <w:pStyle w:val="Default"/>
        <w:tabs>
          <w:tab w:val="left" w:pos="1134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Рассмотрение заявок и допуск к участию в торгах:</w:t>
      </w:r>
    </w:p>
    <w:p w:rsidR="00E91CF0" w:rsidRDefault="00D54AE3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ЭТП</w:t>
      </w:r>
      <w:r>
        <w:rPr>
          <w:sz w:val="26"/>
          <w:szCs w:val="26"/>
        </w:rPr>
        <w:t xml:space="preserve"> обеспечивает для пользователей Организаторов / Заказчиков, функционал по рассмотрению заявок на участие в процедурах в соответствии с Руководством оператора ЭТП, которое размещается в открытой части ЭТП.</w:t>
      </w:r>
    </w:p>
    <w:p w:rsidR="00E91CF0" w:rsidRDefault="00D54AE3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Сроки рассмотрения заявок устанавливаются Организат</w:t>
      </w:r>
      <w:r>
        <w:rPr>
          <w:sz w:val="26"/>
          <w:szCs w:val="26"/>
        </w:rPr>
        <w:t>ором в ходе публикации извещения о проведении процедуры и определяется собственными потребностями или внутренними регламентами (при их наличии) Организатора.</w:t>
      </w:r>
    </w:p>
    <w:p w:rsidR="00E91CF0" w:rsidRDefault="00D54AE3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ЭТП ведется учет принятых, возвращенных и отозванных заявок на участие в процедурах. В течение </w:t>
      </w:r>
      <w:r>
        <w:rPr>
          <w:sz w:val="26"/>
          <w:szCs w:val="26"/>
        </w:rPr>
        <w:t>одного дня после окончания срока подачи заявок, установленного Организатором, заявки становятся доступны для рассмотрения.</w:t>
      </w:r>
    </w:p>
    <w:p w:rsidR="00E91CF0" w:rsidRDefault="00D54AE3">
      <w:pPr>
        <w:pStyle w:val="Default"/>
        <w:tabs>
          <w:tab w:val="left" w:pos="1134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Организатор производит рассмотрение заявок в срок рассмотрения, указанный им в процессе публикации извещения о проведении процедуры.</w:t>
      </w:r>
    </w:p>
    <w:p w:rsidR="00E91CF0" w:rsidRDefault="00D54AE3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>По итогам рассмотрения заявок Организатор</w:t>
      </w:r>
      <w:r>
        <w:rPr>
          <w:sz w:val="26"/>
          <w:szCs w:val="26"/>
        </w:rPr>
        <w:t xml:space="preserve"> принимает решение о допуске (об отказе в допуске) Пользователей к участию в торгах и формирует протокол рассмотрения заявок. </w:t>
      </w:r>
    </w:p>
    <w:p w:rsidR="00E91CF0" w:rsidRDefault="00D54AE3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Участник не допускается к участию в торгах в следующих случаях: </w:t>
      </w:r>
    </w:p>
    <w:p w:rsidR="00E91CF0" w:rsidRDefault="00D54AE3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заявка подана лицом, </w:t>
      </w:r>
      <w:r>
        <w:rPr>
          <w:sz w:val="26"/>
          <w:szCs w:val="26"/>
        </w:rPr>
        <w:t xml:space="preserve">не уполномоченным Участником на осуществление таких действий; </w:t>
      </w:r>
    </w:p>
    <w:p w:rsidR="00E91CF0" w:rsidRDefault="00D54AE3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представлены не все документы по перечню, опубликованному в Информационном сообщении о проведении торгов; </w:t>
      </w:r>
    </w:p>
    <w:p w:rsidR="00E91CF0" w:rsidRDefault="00D54AE3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участником представлены недостоверные сведения. </w:t>
      </w:r>
    </w:p>
    <w:p w:rsidR="00E91CF0" w:rsidRDefault="00E91CF0">
      <w:pPr>
        <w:pStyle w:val="Default"/>
        <w:tabs>
          <w:tab w:val="left" w:pos="993"/>
          <w:tab w:val="left" w:pos="1134"/>
        </w:tabs>
        <w:ind w:firstLine="709"/>
        <w:jc w:val="both"/>
        <w:rPr>
          <w:sz w:val="26"/>
          <w:szCs w:val="26"/>
        </w:rPr>
      </w:pPr>
    </w:p>
    <w:p w:rsidR="00E91CF0" w:rsidRDefault="00D54AE3">
      <w:pPr>
        <w:pStyle w:val="Default"/>
        <w:tabs>
          <w:tab w:val="left" w:pos="1134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Порядок проведения торгов:</w:t>
      </w:r>
    </w:p>
    <w:p w:rsidR="00E91CF0" w:rsidRDefault="00D54AE3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Польз</w:t>
      </w:r>
      <w:r>
        <w:rPr>
          <w:sz w:val="26"/>
          <w:szCs w:val="26"/>
        </w:rPr>
        <w:t xml:space="preserve">ователь, допущенный к участию в торгах, приобретает статус Участника с момента оформления Протокола об определении Участников торгов. </w:t>
      </w:r>
    </w:p>
    <w:p w:rsidR="00E91CF0" w:rsidRDefault="00D54AE3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ЭТП обеспечивает функционал проведения аукциона. Инструкция по участию в аукционе доступна в Руководстве пользователя ЭТП</w:t>
      </w:r>
      <w:r>
        <w:rPr>
          <w:sz w:val="26"/>
          <w:szCs w:val="26"/>
        </w:rPr>
        <w:t xml:space="preserve">, которое размещается в открытой части ЭТП. </w:t>
      </w:r>
    </w:p>
    <w:p w:rsidR="00E91CF0" w:rsidRDefault="00D54AE3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ЭТП обеспечивает проведение аукциона в назначенные дату и время проведения, указанную в извещении при условии, что по итогам рассмотрения заявок к участию в процедуре были допущены не менее двух Участников торго</w:t>
      </w:r>
      <w:r>
        <w:rPr>
          <w:sz w:val="26"/>
          <w:szCs w:val="26"/>
        </w:rPr>
        <w:t xml:space="preserve">в. Начало и окончание проведения аукциона, а также время поступления ценовых предложений определяется по времени сервера, на котором размещена ЭТП. </w:t>
      </w:r>
    </w:p>
    <w:p w:rsidR="00E91CF0" w:rsidRDefault="00D54AE3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Сроки и шаг подачи ценовых предложений в ходе аукциона указывается Организатором в извещении о проведении а</w:t>
      </w:r>
      <w:r>
        <w:rPr>
          <w:sz w:val="26"/>
          <w:szCs w:val="26"/>
        </w:rPr>
        <w:t>укциона.</w:t>
      </w:r>
    </w:p>
    <w:p w:rsidR="00E91CF0" w:rsidRDefault="00D54AE3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момента начала проведения аукциона Участники торгов вправе подать свои предложения о цене договора. </w:t>
      </w:r>
    </w:p>
    <w:p w:rsidR="00E91CF0" w:rsidRDefault="00D54AE3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Время, оставшееся до истечения срока подачи ценовых предложений, продлевается автоматически после поступления очередного предложения о цене дого</w:t>
      </w:r>
      <w:r>
        <w:rPr>
          <w:sz w:val="26"/>
          <w:szCs w:val="26"/>
        </w:rPr>
        <w:t xml:space="preserve">вора. </w:t>
      </w:r>
    </w:p>
    <w:p w:rsidR="00E91CF0" w:rsidRDefault="00D54AE3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Повышение начальной цены производится на «шаг аукциона», указанного Организатором при публикации извещения о проведении процедуры.</w:t>
      </w:r>
    </w:p>
    <w:p w:rsidR="00E91CF0" w:rsidRDefault="00D54AE3">
      <w:pPr>
        <w:pStyle w:val="Default"/>
        <w:tabs>
          <w:tab w:val="left" w:pos="1134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Участник аукциона не вправе подавать предложение о цене договора, равное предложению или меньшее, чем предложение о це</w:t>
      </w:r>
      <w:r>
        <w:rPr>
          <w:sz w:val="26"/>
          <w:szCs w:val="26"/>
        </w:rPr>
        <w:t>не договора, которое было подано им ранее.</w:t>
      </w:r>
    </w:p>
    <w:p w:rsidR="00E91CF0" w:rsidRDefault="00E91CF0">
      <w:pPr>
        <w:tabs>
          <w:tab w:val="left" w:pos="993"/>
        </w:tabs>
        <w:ind w:firstLine="709"/>
        <w:jc w:val="both"/>
        <w:rPr>
          <w:b/>
          <w:sz w:val="26"/>
          <w:szCs w:val="26"/>
        </w:rPr>
      </w:pPr>
    </w:p>
    <w:p w:rsidR="00E91CF0" w:rsidRDefault="00D54AE3">
      <w:pPr>
        <w:pStyle w:val="Default"/>
        <w:ind w:firstLine="709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Порядок подведения итогов</w:t>
      </w:r>
    </w:p>
    <w:p w:rsidR="00E91CF0" w:rsidRDefault="00D54AE3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По факту завершения торгов на ЭТП Организатору доступен функционал рассмотрения вторых заявок Участников и принятия решения о выборе победителя.</w:t>
      </w:r>
    </w:p>
    <w:p w:rsidR="00E91CF0" w:rsidRDefault="00D54AE3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Участник, который предложил наиболее высо</w:t>
      </w:r>
      <w:r>
        <w:rPr>
          <w:color w:val="auto"/>
          <w:sz w:val="26"/>
          <w:szCs w:val="26"/>
        </w:rPr>
        <w:t>кую цену договора, и заявка которого соответствует требованиям извещения и документации о торгах, признается победителем.</w:t>
      </w:r>
    </w:p>
    <w:p w:rsidR="00E91CF0" w:rsidRDefault="00D54AE3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По факту окончания торгов Организатор изготавливает протокол подведения итогов. </w:t>
      </w:r>
    </w:p>
    <w:p w:rsidR="00E91CF0" w:rsidRDefault="00E91CF0">
      <w:pPr>
        <w:pStyle w:val="Default"/>
        <w:ind w:firstLine="708"/>
        <w:jc w:val="both"/>
        <w:rPr>
          <w:color w:val="auto"/>
          <w:sz w:val="26"/>
          <w:szCs w:val="26"/>
        </w:rPr>
      </w:pPr>
    </w:p>
    <w:p w:rsidR="00E91CF0" w:rsidRDefault="00D54AE3" w:rsidP="00271391">
      <w:pPr>
        <w:pStyle w:val="Default"/>
        <w:ind w:firstLine="709"/>
        <w:rPr>
          <w:b/>
          <w:color w:val="auto"/>
          <w:sz w:val="26"/>
          <w:szCs w:val="26"/>
        </w:rPr>
      </w:pPr>
      <w:bookmarkStart w:id="0" w:name="_GoBack"/>
      <w:bookmarkEnd w:id="0"/>
      <w:r>
        <w:rPr>
          <w:b/>
          <w:color w:val="auto"/>
          <w:sz w:val="26"/>
          <w:szCs w:val="26"/>
        </w:rPr>
        <w:t>Порядок заключения договора купли-продажи, порядок расчётов</w:t>
      </w:r>
    </w:p>
    <w:p w:rsidR="00E91CF0" w:rsidRDefault="00E91CF0">
      <w:pPr>
        <w:pStyle w:val="Default"/>
        <w:jc w:val="center"/>
        <w:rPr>
          <w:b/>
          <w:color w:val="auto"/>
          <w:sz w:val="26"/>
          <w:szCs w:val="26"/>
        </w:rPr>
      </w:pPr>
    </w:p>
    <w:p w:rsidR="00E91CF0" w:rsidRDefault="00D54AE3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Договор купли-продажи заключается между Продавцом и Победителем торгов в срок не позднее 30 (тридцати) рабочих дней с даты оформления Протокола об итогах торгов (форма договора купли-продажи прил</w:t>
      </w:r>
      <w:r>
        <w:rPr>
          <w:color w:val="auto"/>
          <w:sz w:val="26"/>
          <w:szCs w:val="26"/>
        </w:rPr>
        <w:t>агается).</w:t>
      </w:r>
    </w:p>
    <w:p w:rsidR="00E91CF0" w:rsidRDefault="00D54AE3">
      <w:pPr>
        <w:pStyle w:val="Default"/>
        <w:ind w:firstLine="708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Оплата имущества Победителем торгов осуществляется в порядке и сроки, установленные договором купли-продажи на условиях 100% предварительной оплаты до передачи имущества.</w:t>
      </w:r>
    </w:p>
    <w:p w:rsidR="00E91CF0" w:rsidRDefault="00D54AE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sz w:val="26"/>
          <w:szCs w:val="26"/>
        </w:rPr>
      </w:pPr>
      <w:r>
        <w:rPr>
          <w:sz w:val="28"/>
          <w:szCs w:val="28"/>
        </w:rPr>
        <w:t>- </w:t>
      </w:r>
      <w:r>
        <w:rPr>
          <w:sz w:val="26"/>
          <w:szCs w:val="26"/>
        </w:rPr>
        <w:t>При уклонении (отказе) Победителя от заключения в указанные сроки договор</w:t>
      </w:r>
      <w:r>
        <w:rPr>
          <w:sz w:val="26"/>
          <w:szCs w:val="26"/>
        </w:rPr>
        <w:t xml:space="preserve">а купли-продажи Акций задаток ему не возвращается и остается </w:t>
      </w:r>
      <w:r>
        <w:rPr>
          <w:sz w:val="26"/>
          <w:szCs w:val="26"/>
        </w:rPr>
        <w:br/>
        <w:t>в собственности Продавца, а Победитель утрачивает право на заключение договора купли-продажи. Результаты торгов в части утверждения Победителя торгов Продавцом аннулируются;</w:t>
      </w:r>
    </w:p>
    <w:p w:rsidR="00E91CF0" w:rsidRDefault="00D54AE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При уклонении (отк</w:t>
      </w:r>
      <w:r>
        <w:rPr>
          <w:sz w:val="26"/>
          <w:szCs w:val="26"/>
        </w:rPr>
        <w:t xml:space="preserve">азе) Победителя от исполнения условий договора купли-продажи либо нарушении сроков оплаты по договору купли-продажи Акций задаток Победителю не возвращается и остается в собственности Продавца, договор купли-продажи подлежит расторжению. Результаты торгов </w:t>
      </w:r>
      <w:r>
        <w:rPr>
          <w:sz w:val="26"/>
          <w:szCs w:val="26"/>
        </w:rPr>
        <w:t>в части утверждения Победителя торгов Продавцом аннулируются.</w:t>
      </w:r>
    </w:p>
    <w:p w:rsidR="00E91CF0" w:rsidRDefault="00D54AE3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таком случае Продавец имеет право заключить договор купли-продажи Акций с участниками торгов, сделавшими предыдущие предложения по цене Акций, путем последовательного направления таким участни</w:t>
      </w:r>
      <w:r>
        <w:rPr>
          <w:sz w:val="26"/>
          <w:szCs w:val="26"/>
        </w:rPr>
        <w:t>кам торгов (начиная от участника, предложившего наибольшую цену, и заканчивая участником, предложившим наименьшую цену) оферты с указанием цены Акций, которая не может быть ниже максимального предложения по цене Акций данного участника. С участником торгов</w:t>
      </w:r>
      <w:r>
        <w:rPr>
          <w:sz w:val="26"/>
          <w:szCs w:val="26"/>
        </w:rPr>
        <w:t xml:space="preserve"> (письменно выразившим намерение Продавцу на их оферту о приобретении Акций) договор купли-продажи Акций заключается в течение 30 (тридцати) рабочих дней с даты ответа (согласия) участника торгов на оферту </w:t>
      </w:r>
      <w:r>
        <w:rPr>
          <w:sz w:val="26"/>
          <w:szCs w:val="26"/>
        </w:rPr>
        <w:lastRenderedPageBreak/>
        <w:t>Продавца. Указанный срок может быть продлен по сог</w:t>
      </w:r>
      <w:r>
        <w:rPr>
          <w:sz w:val="26"/>
          <w:szCs w:val="26"/>
        </w:rPr>
        <w:t>лашению Продавца и участника торгов (путем обмена письмами).</w:t>
      </w:r>
    </w:p>
    <w:p w:rsidR="00E91CF0" w:rsidRDefault="00E91CF0">
      <w:pPr>
        <w:pStyle w:val="Default"/>
        <w:ind w:firstLine="708"/>
        <w:jc w:val="both"/>
        <w:rPr>
          <w:b/>
          <w:bCs/>
          <w:sz w:val="26"/>
          <w:szCs w:val="26"/>
        </w:rPr>
      </w:pPr>
    </w:p>
    <w:p w:rsidR="00E91CF0" w:rsidRDefault="00E91CF0">
      <w:pPr>
        <w:pStyle w:val="Default"/>
        <w:tabs>
          <w:tab w:val="left" w:pos="993"/>
        </w:tabs>
      </w:pPr>
    </w:p>
    <w:p w:rsidR="00E91CF0" w:rsidRDefault="00E91CF0">
      <w:pPr>
        <w:pStyle w:val="Default"/>
        <w:tabs>
          <w:tab w:val="left" w:pos="993"/>
        </w:tabs>
      </w:pPr>
    </w:p>
    <w:sectPr w:rsidR="00E91CF0">
      <w:footerReference w:type="default" r:id="rId9"/>
      <w:pgSz w:w="11906" w:h="16838"/>
      <w:pgMar w:top="426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AE3" w:rsidRDefault="00D54AE3">
      <w:r>
        <w:separator/>
      </w:r>
    </w:p>
  </w:endnote>
  <w:endnote w:type="continuationSeparator" w:id="0">
    <w:p w:rsidR="00D54AE3" w:rsidRDefault="00D5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TimesNewRomanPSMT"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8918612"/>
      <w:docPartObj>
        <w:docPartGallery w:val="Page Numbers (Bottom of Page)"/>
        <w:docPartUnique/>
      </w:docPartObj>
    </w:sdtPr>
    <w:sdtEndPr/>
    <w:sdtContent>
      <w:tbl>
        <w:tblPr>
          <w:tblW w:w="0" w:type="auto"/>
          <w:tblLayout w:type="fixed"/>
          <w:tblLook w:val="0000" w:firstRow="0" w:lastRow="0" w:firstColumn="0" w:lastColumn="0" w:noHBand="0" w:noVBand="0"/>
        </w:tblPr>
        <w:tblGrid>
          <w:gridCol w:w="4643"/>
          <w:gridCol w:w="4644"/>
        </w:tblGrid>
        <w:tr w:rsidR="00E91CF0">
          <w:tc>
            <w:tcPr>
              <w:tcW w:w="4643" w:type="dxa"/>
            </w:tcPr>
            <w:p w:rsidR="00E91CF0" w:rsidRDefault="00E91CF0">
              <w:pPr>
                <w:pStyle w:val="afa"/>
                <w:jc w:val="center"/>
                <w:rPr>
                  <w:rFonts w:ascii="Arial Narrow" w:hAnsi="Arial Narrow"/>
                  <w:sz w:val="16"/>
                </w:rPr>
              </w:pPr>
            </w:p>
          </w:tc>
          <w:tc>
            <w:tcPr>
              <w:tcW w:w="4644" w:type="dxa"/>
            </w:tcPr>
            <w:p w:rsidR="00E91CF0" w:rsidRDefault="00E91CF0">
              <w:pPr>
                <w:pStyle w:val="afa"/>
                <w:jc w:val="center"/>
                <w:rPr>
                  <w:rFonts w:ascii="Arial Narrow" w:hAnsi="Arial Narrow"/>
                  <w:sz w:val="16"/>
                </w:rPr>
              </w:pPr>
            </w:p>
          </w:tc>
        </w:tr>
      </w:tbl>
      <w:p w:rsidR="00E91CF0" w:rsidRDefault="00D54AE3">
        <w:pPr>
          <w:pStyle w:val="afa"/>
          <w:jc w:val="center"/>
        </w:pPr>
      </w:p>
    </w:sdtContent>
  </w:sdt>
  <w:p w:rsidR="00E91CF0" w:rsidRDefault="00E91CF0">
    <w:pPr>
      <w:pStyle w:val="af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AE3" w:rsidRDefault="00D54AE3">
      <w:r>
        <w:separator/>
      </w:r>
    </w:p>
  </w:footnote>
  <w:footnote w:type="continuationSeparator" w:id="0">
    <w:p w:rsidR="00D54AE3" w:rsidRDefault="00D54A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0F42"/>
    <w:multiLevelType w:val="hybridMultilevel"/>
    <w:tmpl w:val="0B32E74E"/>
    <w:lvl w:ilvl="0" w:tplc="5DDEAB3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977CF59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52C23D6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D28CEC6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F5FA30F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844333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ECA0AC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889EBCA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CE4E3FB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5C84F47"/>
    <w:multiLevelType w:val="multilevel"/>
    <w:tmpl w:val="B1303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caps w:val="0"/>
        <w:strike w:val="0"/>
        <w:vanish w:val="0"/>
        <w:color w:val="000000"/>
        <w:spacing w:val="0"/>
        <w:position w:val="0"/>
        <w:sz w:val="24"/>
        <w:szCs w:val="24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788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1B4D0FDF"/>
    <w:multiLevelType w:val="multilevel"/>
    <w:tmpl w:val="D3C8328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2908485D"/>
    <w:multiLevelType w:val="hybridMultilevel"/>
    <w:tmpl w:val="D3AC1198"/>
    <w:lvl w:ilvl="0" w:tplc="509CCE00">
      <w:start w:val="1"/>
      <w:numFmt w:val="decimal"/>
      <w:lvlText w:val="*"/>
      <w:lvlJc w:val="left"/>
    </w:lvl>
    <w:lvl w:ilvl="1" w:tplc="9288D0C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C94B69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614981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C480AB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58CC97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2ECFEA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75A2B2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F76975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2D8F1226"/>
    <w:multiLevelType w:val="multilevel"/>
    <w:tmpl w:val="09A41C7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359D0B1A"/>
    <w:multiLevelType w:val="hybridMultilevel"/>
    <w:tmpl w:val="3C88BA60"/>
    <w:lvl w:ilvl="0" w:tplc="A724A4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3C252E">
      <w:start w:val="1"/>
      <w:numFmt w:val="lowerLetter"/>
      <w:lvlText w:val="%2."/>
      <w:lvlJc w:val="left"/>
      <w:pPr>
        <w:ind w:left="1440" w:hanging="360"/>
      </w:pPr>
    </w:lvl>
    <w:lvl w:ilvl="2" w:tplc="D2D606D6">
      <w:start w:val="1"/>
      <w:numFmt w:val="lowerRoman"/>
      <w:lvlText w:val="%3."/>
      <w:lvlJc w:val="right"/>
      <w:pPr>
        <w:ind w:left="2160" w:hanging="180"/>
      </w:pPr>
    </w:lvl>
    <w:lvl w:ilvl="3" w:tplc="B5B6A854">
      <w:start w:val="1"/>
      <w:numFmt w:val="decimal"/>
      <w:lvlText w:val="%4."/>
      <w:lvlJc w:val="left"/>
      <w:pPr>
        <w:ind w:left="2880" w:hanging="360"/>
      </w:pPr>
    </w:lvl>
    <w:lvl w:ilvl="4" w:tplc="13447896">
      <w:start w:val="1"/>
      <w:numFmt w:val="lowerLetter"/>
      <w:lvlText w:val="%5."/>
      <w:lvlJc w:val="left"/>
      <w:pPr>
        <w:ind w:left="3600" w:hanging="360"/>
      </w:pPr>
    </w:lvl>
    <w:lvl w:ilvl="5" w:tplc="A9F0FB96">
      <w:start w:val="1"/>
      <w:numFmt w:val="lowerRoman"/>
      <w:lvlText w:val="%6."/>
      <w:lvlJc w:val="right"/>
      <w:pPr>
        <w:ind w:left="4320" w:hanging="180"/>
      </w:pPr>
    </w:lvl>
    <w:lvl w:ilvl="6" w:tplc="502CFA1E">
      <w:start w:val="1"/>
      <w:numFmt w:val="decimal"/>
      <w:lvlText w:val="%7."/>
      <w:lvlJc w:val="left"/>
      <w:pPr>
        <w:ind w:left="5040" w:hanging="360"/>
      </w:pPr>
    </w:lvl>
    <w:lvl w:ilvl="7" w:tplc="E8048F2A">
      <w:start w:val="1"/>
      <w:numFmt w:val="lowerLetter"/>
      <w:lvlText w:val="%8."/>
      <w:lvlJc w:val="left"/>
      <w:pPr>
        <w:ind w:left="5760" w:hanging="360"/>
      </w:pPr>
    </w:lvl>
    <w:lvl w:ilvl="8" w:tplc="CBA62E7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5B7A6F"/>
    <w:multiLevelType w:val="hybridMultilevel"/>
    <w:tmpl w:val="90104512"/>
    <w:lvl w:ilvl="0" w:tplc="18140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DAECAAE">
      <w:start w:val="1"/>
      <w:numFmt w:val="lowerLetter"/>
      <w:lvlText w:val="%2."/>
      <w:lvlJc w:val="left"/>
      <w:pPr>
        <w:ind w:left="1440" w:hanging="360"/>
      </w:pPr>
    </w:lvl>
    <w:lvl w:ilvl="2" w:tplc="2B501EE8">
      <w:start w:val="1"/>
      <w:numFmt w:val="lowerRoman"/>
      <w:lvlText w:val="%3."/>
      <w:lvlJc w:val="right"/>
      <w:pPr>
        <w:ind w:left="2160" w:hanging="180"/>
      </w:pPr>
    </w:lvl>
    <w:lvl w:ilvl="3" w:tplc="1E14437C">
      <w:start w:val="1"/>
      <w:numFmt w:val="decimal"/>
      <w:lvlText w:val="%4."/>
      <w:lvlJc w:val="left"/>
      <w:pPr>
        <w:ind w:left="2880" w:hanging="360"/>
      </w:pPr>
    </w:lvl>
    <w:lvl w:ilvl="4" w:tplc="6738316A">
      <w:start w:val="1"/>
      <w:numFmt w:val="lowerLetter"/>
      <w:lvlText w:val="%5."/>
      <w:lvlJc w:val="left"/>
      <w:pPr>
        <w:ind w:left="3600" w:hanging="360"/>
      </w:pPr>
    </w:lvl>
    <w:lvl w:ilvl="5" w:tplc="F6CC9EFE">
      <w:start w:val="1"/>
      <w:numFmt w:val="lowerRoman"/>
      <w:lvlText w:val="%6."/>
      <w:lvlJc w:val="right"/>
      <w:pPr>
        <w:ind w:left="4320" w:hanging="180"/>
      </w:pPr>
    </w:lvl>
    <w:lvl w:ilvl="6" w:tplc="25AA6D58">
      <w:start w:val="1"/>
      <w:numFmt w:val="decimal"/>
      <w:lvlText w:val="%7."/>
      <w:lvlJc w:val="left"/>
      <w:pPr>
        <w:ind w:left="5040" w:hanging="360"/>
      </w:pPr>
    </w:lvl>
    <w:lvl w:ilvl="7" w:tplc="63F2BBC4">
      <w:start w:val="1"/>
      <w:numFmt w:val="lowerLetter"/>
      <w:lvlText w:val="%8."/>
      <w:lvlJc w:val="left"/>
      <w:pPr>
        <w:ind w:left="5760" w:hanging="360"/>
      </w:pPr>
    </w:lvl>
    <w:lvl w:ilvl="8" w:tplc="DAF8EF6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744077"/>
    <w:multiLevelType w:val="hybridMultilevel"/>
    <w:tmpl w:val="C178CD58"/>
    <w:lvl w:ilvl="0" w:tplc="2D28D076">
      <w:start w:val="1"/>
      <w:numFmt w:val="decimal"/>
      <w:lvlText w:val="*"/>
      <w:lvlJc w:val="left"/>
    </w:lvl>
    <w:lvl w:ilvl="1" w:tplc="C4768EC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1B4B0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71EE4F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339C79E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58341CD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0E660F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BFE284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4147A4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9E03400"/>
    <w:multiLevelType w:val="hybridMultilevel"/>
    <w:tmpl w:val="4BEADE40"/>
    <w:lvl w:ilvl="0" w:tplc="BD82B1D0">
      <w:start w:val="1"/>
      <w:numFmt w:val="decimal"/>
      <w:lvlText w:val="%1."/>
      <w:lvlJc w:val="left"/>
      <w:pPr>
        <w:ind w:left="720" w:hanging="360"/>
      </w:pPr>
    </w:lvl>
    <w:lvl w:ilvl="1" w:tplc="218C6DDC">
      <w:start w:val="1"/>
      <w:numFmt w:val="lowerLetter"/>
      <w:lvlText w:val="%2."/>
      <w:lvlJc w:val="left"/>
      <w:pPr>
        <w:ind w:left="1440" w:hanging="360"/>
      </w:pPr>
    </w:lvl>
    <w:lvl w:ilvl="2" w:tplc="F064B068">
      <w:start w:val="1"/>
      <w:numFmt w:val="lowerRoman"/>
      <w:lvlText w:val="%3."/>
      <w:lvlJc w:val="right"/>
      <w:pPr>
        <w:ind w:left="2160" w:hanging="180"/>
      </w:pPr>
    </w:lvl>
    <w:lvl w:ilvl="3" w:tplc="35BE26CA">
      <w:start w:val="1"/>
      <w:numFmt w:val="decimal"/>
      <w:lvlText w:val="%4."/>
      <w:lvlJc w:val="left"/>
      <w:pPr>
        <w:ind w:left="2880" w:hanging="360"/>
      </w:pPr>
    </w:lvl>
    <w:lvl w:ilvl="4" w:tplc="877C00A4">
      <w:start w:val="1"/>
      <w:numFmt w:val="lowerLetter"/>
      <w:lvlText w:val="%5."/>
      <w:lvlJc w:val="left"/>
      <w:pPr>
        <w:ind w:left="3600" w:hanging="360"/>
      </w:pPr>
    </w:lvl>
    <w:lvl w:ilvl="5" w:tplc="E8FC95A8">
      <w:start w:val="1"/>
      <w:numFmt w:val="lowerRoman"/>
      <w:lvlText w:val="%6."/>
      <w:lvlJc w:val="right"/>
      <w:pPr>
        <w:ind w:left="4320" w:hanging="180"/>
      </w:pPr>
    </w:lvl>
    <w:lvl w:ilvl="6" w:tplc="B6BE4256">
      <w:start w:val="1"/>
      <w:numFmt w:val="decimal"/>
      <w:lvlText w:val="%7."/>
      <w:lvlJc w:val="left"/>
      <w:pPr>
        <w:ind w:left="5040" w:hanging="360"/>
      </w:pPr>
    </w:lvl>
    <w:lvl w:ilvl="7" w:tplc="4B3A55F6">
      <w:start w:val="1"/>
      <w:numFmt w:val="lowerLetter"/>
      <w:lvlText w:val="%8."/>
      <w:lvlJc w:val="left"/>
      <w:pPr>
        <w:ind w:left="5760" w:hanging="360"/>
      </w:pPr>
    </w:lvl>
    <w:lvl w:ilvl="8" w:tplc="40AA450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2110CB"/>
    <w:multiLevelType w:val="hybridMultilevel"/>
    <w:tmpl w:val="C3307C68"/>
    <w:lvl w:ilvl="0" w:tplc="29F87D8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2BAE044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1CA7BD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748EC9D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A0A44FA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9CC3F8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9D50B13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4282AD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F8FEC6B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695B20A6"/>
    <w:multiLevelType w:val="multilevel"/>
    <w:tmpl w:val="2C04031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 w15:restartNumberingAfterBreak="0">
    <w:nsid w:val="77B658A3"/>
    <w:multiLevelType w:val="multilevel"/>
    <w:tmpl w:val="238E81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83"/>
        </w:tabs>
        <w:ind w:left="1283" w:hanging="432"/>
      </w:pPr>
      <w:rPr>
        <w:rFonts w:ascii="Times New Roman" w:hAnsi="Times New Roman"/>
        <w:b w:val="0"/>
        <w:i w:val="0"/>
        <w:caps w:val="0"/>
        <w:strike w:val="0"/>
        <w:vanish w:val="0"/>
        <w:spacing w:val="0"/>
        <w:positio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78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2" w15:restartNumberingAfterBreak="0">
    <w:nsid w:val="7D847E29"/>
    <w:multiLevelType w:val="multilevel"/>
    <w:tmpl w:val="DB4C83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hAnsi="Times New Roman"/>
        <w:b w:val="0"/>
        <w:i w:val="0"/>
        <w:caps w:val="0"/>
        <w:strike w:val="0"/>
        <w:vanish w:val="0"/>
        <w:spacing w:val="0"/>
        <w:position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788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12"/>
  </w:num>
  <w:num w:numId="6">
    <w:abstractNumId w:val="10"/>
  </w:num>
  <w:num w:numId="7">
    <w:abstractNumId w:val="7"/>
    <w:lvlOverride w:ilvl="0">
      <w:lvl w:ilvl="0" w:tplc="2D28D076">
        <w:start w:val="1"/>
        <w:numFmt w:val="bullet"/>
        <w:lvlText w:val=""/>
        <w:legacy w:legacy="1" w:legacySpace="0" w:legacyIndent="0"/>
        <w:lvlJc w:val="left"/>
        <w:pPr>
          <w:ind w:left="360" w:hanging="360"/>
        </w:pPr>
        <w:rPr>
          <w:rFonts w:ascii="Symbol" w:hAnsi="Symbol"/>
        </w:rPr>
      </w:lvl>
    </w:lvlOverride>
  </w:num>
  <w:num w:numId="8">
    <w:abstractNumId w:val="6"/>
  </w:num>
  <w:num w:numId="9">
    <w:abstractNumId w:val="11"/>
  </w:num>
  <w:num w:numId="10">
    <w:abstractNumId w:val="2"/>
  </w:num>
  <w:num w:numId="11">
    <w:abstractNumId w:val="3"/>
    <w:lvlOverride w:ilvl="0">
      <w:lvl w:ilvl="0" w:tplc="509CCE00">
        <w:start w:val="1"/>
        <w:numFmt w:val="bullet"/>
        <w:lvlText w:val=""/>
        <w:legacy w:legacy="1" w:legacySpace="0" w:legacyIndent="0"/>
        <w:lvlJc w:val="left"/>
        <w:pPr>
          <w:ind w:left="360" w:hanging="360"/>
        </w:pPr>
        <w:rPr>
          <w:rFonts w:ascii="Symbol" w:hAnsi="Symbol"/>
        </w:rPr>
      </w:lvl>
    </w:lvlOverride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CF0"/>
    <w:rsid w:val="00271391"/>
    <w:rsid w:val="00D54AE3"/>
    <w:rsid w:val="00E9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16146F-0F8D-432A-8922-75A71F919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link w:val="a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a">
    <w:name w:val="Название объекта Знак"/>
    <w:link w:val="a9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Block Text"/>
    <w:basedOn w:val="a"/>
    <w:pPr>
      <w:ind w:left="1134" w:right="1134"/>
      <w:jc w:val="both"/>
    </w:pPr>
    <w:rPr>
      <w:b/>
      <w:i/>
      <w:szCs w:val="20"/>
    </w:rPr>
  </w:style>
  <w:style w:type="character" w:styleId="af4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table" w:styleId="af7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head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"/>
    <w:link w:val="afb"/>
    <w:uiPriority w:val="99"/>
    <w:unhideWhenUsed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0"/>
    <w:link w:val="afa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semiHidden/>
    <w:unhideWhenUsed/>
    <w:pPr>
      <w:spacing w:after="120"/>
    </w:pPr>
    <w:rPr>
      <w:rFonts w:eastAsia="Calibri"/>
      <w:sz w:val="16"/>
      <w:szCs w:val="20"/>
    </w:rPr>
  </w:style>
  <w:style w:type="character" w:customStyle="1" w:styleId="34">
    <w:name w:val="Основной текст 3 Знак"/>
    <w:basedOn w:val="a0"/>
    <w:link w:val="33"/>
    <w:semiHidden/>
    <w:rPr>
      <w:rFonts w:ascii="Times New Roman" w:eastAsia="Calibri" w:hAnsi="Times New Roman" w:cs="Times New Roman"/>
      <w:sz w:val="16"/>
      <w:szCs w:val="20"/>
      <w:lang w:eastAsia="ru-RU"/>
    </w:rPr>
  </w:style>
  <w:style w:type="paragraph" w:styleId="afc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paragraph" w:styleId="afd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fe">
    <w:name w:val="Т Обычный Знак"/>
    <w:link w:val="aff"/>
    <w:rPr>
      <w:rFonts w:ascii="Times New Roman" w:hAnsi="Times New Roman" w:cs="Times New Roman"/>
      <w:sz w:val="24"/>
    </w:rPr>
  </w:style>
  <w:style w:type="paragraph" w:customStyle="1" w:styleId="aff">
    <w:name w:val="Т Обычный"/>
    <w:basedOn w:val="a"/>
    <w:link w:val="afe"/>
    <w:pPr>
      <w:spacing w:before="60" w:after="60"/>
    </w:pPr>
    <w:rPr>
      <w:rFonts w:eastAsiaTheme="minorHAnsi"/>
      <w:szCs w:val="22"/>
      <w:lang w:eastAsia="en-US"/>
    </w:rPr>
  </w:style>
  <w:style w:type="character" w:customStyle="1" w:styleId="rvts48220">
    <w:name w:val="rvts48220"/>
    <w:uiPriority w:val="99"/>
    <w:rPr>
      <w:rFonts w:ascii="Arial" w:hAnsi="Arial" w:cs="Arial" w:hint="default"/>
      <w:b w:val="0"/>
      <w:bCs w:val="0"/>
      <w:i w:val="0"/>
      <w:iCs w:val="0"/>
      <w:strike w:val="0"/>
      <w:color w:val="000000"/>
      <w:sz w:val="20"/>
      <w:szCs w:val="20"/>
      <w:u w:val="none"/>
    </w:rPr>
  </w:style>
  <w:style w:type="character" w:customStyle="1" w:styleId="fontstyle01">
    <w:name w:val="fontstyle01"/>
    <w:basedOn w:val="a0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f0">
    <w:name w:val="Normal (Web)"/>
    <w:basedOn w:val="a"/>
    <w:pPr>
      <w:spacing w:after="150"/>
      <w:jc w:val="both"/>
    </w:pPr>
  </w:style>
  <w:style w:type="character" w:customStyle="1" w:styleId="rvts48221">
    <w:name w:val="rvts48221"/>
    <w:rPr>
      <w:rFonts w:ascii="Arial" w:hAnsi="Arial" w:cs="Arial" w:hint="default"/>
      <w:b/>
      <w:bCs/>
      <w:i w:val="0"/>
      <w:iCs w:val="0"/>
      <w:strike w:val="0"/>
      <w:color w:val="000000"/>
      <w:sz w:val="20"/>
      <w:szCs w:val="20"/>
      <w:u w:val="none"/>
      <w:shd w:val="clear" w:color="auto" w:fill="auto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nformat">
    <w:name w:val="ConsPlusNonformat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uiPriority w:val="99"/>
    <w:pPr>
      <w:widowControl w:val="0"/>
      <w:spacing w:line="370" w:lineRule="exact"/>
      <w:ind w:firstLine="706"/>
      <w:jc w:val="both"/>
    </w:pPr>
    <w:rPr>
      <w:rFonts w:ascii="Calibri" w:hAnsi="Calibri" w:cs="Calibri"/>
    </w:rPr>
  </w:style>
  <w:style w:type="paragraph" w:customStyle="1" w:styleId="Style1">
    <w:name w:val="Style1"/>
    <w:basedOn w:val="a"/>
    <w:uiPriority w:val="99"/>
    <w:pPr>
      <w:widowControl w:val="0"/>
      <w:jc w:val="center"/>
    </w:pPr>
  </w:style>
  <w:style w:type="paragraph" w:customStyle="1" w:styleId="Style2">
    <w:name w:val="Style2"/>
    <w:basedOn w:val="a"/>
    <w:uiPriority w:val="99"/>
    <w:pPr>
      <w:widowControl w:val="0"/>
      <w:jc w:val="both"/>
    </w:pPr>
  </w:style>
  <w:style w:type="character" w:customStyle="1" w:styleId="FontStyle22">
    <w:name w:val="Font Style22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4">
    <w:name w:val="Font Style24"/>
    <w:uiPriority w:val="99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pPr>
      <w:widowControl w:val="0"/>
      <w:jc w:val="center"/>
    </w:pPr>
  </w:style>
  <w:style w:type="paragraph" w:customStyle="1" w:styleId="Style15">
    <w:name w:val="Style15"/>
    <w:basedOn w:val="a"/>
    <w:uiPriority w:val="99"/>
    <w:pPr>
      <w:widowControl w:val="0"/>
      <w:spacing w:line="274" w:lineRule="exact"/>
    </w:pPr>
  </w:style>
  <w:style w:type="character" w:customStyle="1" w:styleId="FontStyle20">
    <w:name w:val="Font Style20"/>
    <w:uiPriority w:val="9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.gp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B30A2A-99EA-41AD-A5B8-4AE029EBD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1334</Words>
  <Characters>7609</Characters>
  <Application>Microsoft Office Word</Application>
  <DocSecurity>0</DocSecurity>
  <Lines>63</Lines>
  <Paragraphs>17</Paragraphs>
  <ScaleCrop>false</ScaleCrop>
  <Company/>
  <LinksUpToDate>false</LinksUpToDate>
  <CharactersWithSpaces>8926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Куприна</dc:creator>
  <cp:lastModifiedBy>Ковалева Татьяна Владимировна</cp:lastModifiedBy>
  <cp:revision>25</cp:revision>
  <dcterms:created xsi:type="dcterms:W3CDTF">2024-09-20T08:11:00Z</dcterms:created>
  <dcterms:modified xsi:type="dcterms:W3CDTF">2025-02-04T09:49:00Z</dcterms:modified>
</cp:coreProperties>
</file>