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B" w:rsidRPr="00D94548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>Приложение</w:t>
      </w:r>
      <w:r w:rsidR="009B467B" w:rsidRPr="00D9454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A906B6" w:rsidRPr="00D94548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от </w:t>
      </w:r>
      <w:r w:rsidR="0054372D" w:rsidRPr="00D94548">
        <w:rPr>
          <w:rFonts w:ascii="Times New Roman" w:hAnsi="Times New Roman" w:cs="Times New Roman"/>
          <w:sz w:val="28"/>
          <w:szCs w:val="28"/>
        </w:rPr>
        <w:t>«</w:t>
      </w:r>
      <w:r w:rsidR="006207E7" w:rsidRPr="00DC33AF">
        <w:rPr>
          <w:rFonts w:ascii="Times New Roman" w:hAnsi="Times New Roman" w:cs="Times New Roman"/>
          <w:sz w:val="28"/>
          <w:szCs w:val="28"/>
        </w:rPr>
        <w:t>10</w:t>
      </w:r>
      <w:r w:rsidR="0054372D" w:rsidRPr="00D94548">
        <w:rPr>
          <w:rFonts w:ascii="Times New Roman" w:hAnsi="Times New Roman" w:cs="Times New Roman"/>
          <w:sz w:val="28"/>
          <w:szCs w:val="28"/>
        </w:rPr>
        <w:t>»</w:t>
      </w:r>
      <w:r w:rsidR="006207E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4372D" w:rsidRPr="00D94548">
        <w:rPr>
          <w:rFonts w:ascii="Times New Roman" w:hAnsi="Times New Roman" w:cs="Times New Roman"/>
          <w:sz w:val="28"/>
          <w:szCs w:val="28"/>
        </w:rPr>
        <w:t xml:space="preserve"> 201</w:t>
      </w:r>
      <w:r w:rsidR="006207E7">
        <w:rPr>
          <w:rFonts w:ascii="Times New Roman" w:hAnsi="Times New Roman" w:cs="Times New Roman"/>
          <w:sz w:val="28"/>
          <w:szCs w:val="28"/>
        </w:rPr>
        <w:t>8</w:t>
      </w:r>
      <w:r w:rsidR="0054372D" w:rsidRPr="00D94548">
        <w:rPr>
          <w:rFonts w:ascii="Times New Roman" w:hAnsi="Times New Roman" w:cs="Times New Roman"/>
          <w:sz w:val="28"/>
          <w:szCs w:val="28"/>
        </w:rPr>
        <w:t xml:space="preserve"> г.</w:t>
      </w:r>
      <w:r w:rsidR="006207E7" w:rsidRPr="006207E7">
        <w:rPr>
          <w:rFonts w:ascii="Times New Roman" w:hAnsi="Times New Roman" w:cs="Times New Roman"/>
          <w:sz w:val="28"/>
          <w:szCs w:val="28"/>
        </w:rPr>
        <w:t xml:space="preserve"> </w:t>
      </w:r>
      <w:r w:rsidR="006207E7" w:rsidRPr="00D94548">
        <w:rPr>
          <w:rFonts w:ascii="Times New Roman" w:hAnsi="Times New Roman" w:cs="Times New Roman"/>
          <w:sz w:val="28"/>
          <w:szCs w:val="28"/>
        </w:rPr>
        <w:t xml:space="preserve">№ </w:t>
      </w:r>
      <w:r w:rsidR="006207E7">
        <w:rPr>
          <w:rFonts w:ascii="Times New Roman" w:hAnsi="Times New Roman" w:cs="Times New Roman"/>
          <w:sz w:val="28"/>
          <w:szCs w:val="28"/>
        </w:rPr>
        <w:t>2</w:t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D7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536E69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r w:rsidR="0086061A" w:rsidRPr="00D9454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E1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</w:t>
      </w:r>
    </w:p>
    <w:p w:rsidR="00A906B6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5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4548">
        <w:rPr>
          <w:rFonts w:ascii="Times New Roman" w:hAnsi="Times New Roman" w:cs="Times New Roman"/>
          <w:sz w:val="28"/>
          <w:szCs w:val="28"/>
        </w:rPr>
        <w:t xml:space="preserve"> 034-2014 (КПЕС 2008) (ОКПД2)</w:t>
      </w:r>
    </w:p>
    <w:p w:rsidR="009043AD" w:rsidRPr="00D94548" w:rsidRDefault="009043AD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693"/>
        <w:gridCol w:w="4536"/>
      </w:tblGrid>
      <w:tr w:rsidR="00DC33AF" w:rsidRPr="00D94548" w:rsidTr="00DC33AF">
        <w:trPr>
          <w:trHeight w:val="1333"/>
        </w:trPr>
        <w:tc>
          <w:tcPr>
            <w:tcW w:w="32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Раздел видов продукции и услуг</w:t>
            </w:r>
          </w:p>
        </w:tc>
        <w:tc>
          <w:tcPr>
            <w:tcW w:w="38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Класс видов продукции и услуг</w:t>
            </w:r>
          </w:p>
        </w:tc>
        <w:tc>
          <w:tcPr>
            <w:tcW w:w="2693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Подклассы видов продукции и услуг</w:t>
            </w:r>
          </w:p>
        </w:tc>
        <w:tc>
          <w:tcPr>
            <w:tcW w:w="4536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товаров, работ, услуг</w:t>
            </w: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(согласно ОКПД 2)</w:t>
            </w:r>
          </w:p>
        </w:tc>
      </w:tr>
      <w:tr w:rsidR="00DC33AF" w:rsidRPr="00D94548" w:rsidTr="00DC33AF">
        <w:trPr>
          <w:trHeight w:val="697"/>
        </w:trPr>
        <w:tc>
          <w:tcPr>
            <w:tcW w:w="3227" w:type="dxa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B Продукция горнодобывающих производств</w:t>
            </w: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08. </w:t>
            </w:r>
            <w:hyperlink r:id="rId8" w:history="1"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Продукция горнодобывающих произво</w:t>
              </w:r>
              <w:proofErr w:type="gramStart"/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дств пр</w:t>
              </w:r>
              <w:proofErr w:type="gramEnd"/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очая</w:t>
              </w:r>
            </w:hyperlink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536" w:type="dxa"/>
          </w:tcPr>
          <w:p w:rsidR="00DC33AF" w:rsidRPr="00D94548" w:rsidRDefault="009043AD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AD">
              <w:rPr>
                <w:rFonts w:ascii="Times New Roman" w:hAnsi="Times New Roman" w:cs="Times New Roman"/>
                <w:sz w:val="28"/>
                <w:szCs w:val="28"/>
              </w:rPr>
              <w:t>Гравий, песок, глины и каолин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обрабатывающих производств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 Вещества химические и продукты химические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C33AF" w:rsidRPr="00D94548" w:rsidTr="00DC33AF">
        <w:trPr>
          <w:trHeight w:val="614"/>
        </w:trPr>
        <w:tc>
          <w:tcPr>
            <w:tcW w:w="3227" w:type="dxa"/>
            <w:vMerge/>
          </w:tcPr>
          <w:p w:rsidR="00DC33AF" w:rsidRPr="00D94548" w:rsidRDefault="00DC33AF" w:rsidP="0093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7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23. Продукты минеральные неметаллические прочие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DC33AF" w:rsidRPr="00D94548" w:rsidTr="00DC33AF">
        <w:trPr>
          <w:trHeight w:val="651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23.52</w:t>
            </w:r>
          </w:p>
        </w:tc>
        <w:tc>
          <w:tcPr>
            <w:tcW w:w="4536" w:type="dxa"/>
          </w:tcPr>
          <w:p w:rsidR="00DC33AF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Известь и гипс</w:t>
            </w:r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Pr="00D94548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24. Металлы основные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24.20.4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литых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46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 Оборудование компьютерное, электронное и оптическое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9043AD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3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27. Оборудование электрическое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27.33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Изделия </w:t>
            </w:r>
            <w:proofErr w:type="spell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28. Машины и оборудование, не включенные в другие группировки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Краны и клапаны прочие</w:t>
            </w:r>
          </w:p>
        </w:tc>
      </w:tr>
      <w:tr w:rsidR="00DC33AF" w:rsidRPr="00D94548" w:rsidTr="00462AE1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18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28.25.12.130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Кондиционеры бытовые</w:t>
            </w:r>
          </w:p>
        </w:tc>
      </w:tr>
      <w:tr w:rsidR="00DC33AF" w:rsidRPr="00D94548" w:rsidTr="00DC33AF">
        <w:trPr>
          <w:trHeight w:val="347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31. Мебель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DC33AF" w:rsidRPr="00D94548" w:rsidTr="009043AD">
        <w:trPr>
          <w:trHeight w:val="139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и строительные работы</w:t>
            </w: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 Здания и работы по возведению зданий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41.20.40</w:t>
            </w:r>
          </w:p>
        </w:tc>
        <w:tc>
          <w:tcPr>
            <w:tcW w:w="4536" w:type="dxa"/>
          </w:tcPr>
          <w:p w:rsidR="00DC33AF" w:rsidRP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DC33AF" w:rsidRPr="00D94548" w:rsidTr="009043AD">
        <w:trPr>
          <w:trHeight w:val="101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 Сооружения и строительные работы в области гражданского строительства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DC33AF" w:rsidRPr="00D94548" w:rsidTr="009043AD">
        <w:trPr>
          <w:trHeight w:val="6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42.22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 Работы строительные специализированные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DC33AF" w:rsidRPr="00D94548" w:rsidTr="00DC33AF">
        <w:trPr>
          <w:trHeight w:val="509"/>
        </w:trPr>
        <w:tc>
          <w:tcPr>
            <w:tcW w:w="3227" w:type="dxa"/>
            <w:vMerge w:val="restart"/>
          </w:tcPr>
          <w:p w:rsidR="00DC33AF" w:rsidRPr="00AA56A9" w:rsidRDefault="00AA56A9" w:rsidP="00AA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AA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связанные с недвижимым имуществом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 Услуги по операциям с недвижимым имуществом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68.32.13.110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технической инвентаризации недвижимого имущества нежилого фонда</w:t>
            </w:r>
          </w:p>
          <w:p w:rsidR="00DC33AF" w:rsidRPr="00D94548" w:rsidRDefault="00DC33AF" w:rsidP="008321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889"/>
        </w:trPr>
        <w:tc>
          <w:tcPr>
            <w:tcW w:w="3227" w:type="dxa"/>
            <w:vMerge/>
          </w:tcPr>
          <w:p w:rsidR="00DC33AF" w:rsidRPr="00D94548" w:rsidRDefault="00DC33AF" w:rsidP="006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Услуги, связанные с научной, инженерно-технической и профессиональной деятельностью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71. 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71.11.22.000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71.12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C33AF" w:rsidRPr="00D94548" w:rsidTr="00DC33AF">
        <w:trPr>
          <w:trHeight w:val="64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88C" w:rsidRPr="00D94548" w:rsidRDefault="00FE288C">
      <w:pPr>
        <w:rPr>
          <w:rFonts w:ascii="Times New Roman" w:hAnsi="Times New Roman" w:cs="Times New Roman"/>
          <w:sz w:val="28"/>
          <w:szCs w:val="28"/>
        </w:rPr>
      </w:pPr>
    </w:p>
    <w:p w:rsidR="00FE288C" w:rsidRPr="00D94548" w:rsidRDefault="00FE288C">
      <w:pPr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D94548">
        <w:rPr>
          <w:rFonts w:ascii="Times New Roman" w:hAnsi="Times New Roman" w:cs="Times New Roman"/>
          <w:sz w:val="28"/>
          <w:szCs w:val="28"/>
        </w:rPr>
        <w:tab/>
      </w:r>
      <w:r w:rsidRPr="00D94548">
        <w:rPr>
          <w:rFonts w:ascii="Times New Roman" w:hAnsi="Times New Roman" w:cs="Times New Roman"/>
          <w:sz w:val="28"/>
          <w:szCs w:val="28"/>
        </w:rPr>
        <w:tab/>
      </w:r>
      <w:r w:rsidRPr="00D94548">
        <w:rPr>
          <w:rFonts w:ascii="Times New Roman" w:hAnsi="Times New Roman" w:cs="Times New Roman"/>
          <w:sz w:val="28"/>
          <w:szCs w:val="28"/>
        </w:rPr>
        <w:tab/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="002802C7">
        <w:rPr>
          <w:rFonts w:ascii="Times New Roman" w:hAnsi="Times New Roman" w:cs="Times New Roman"/>
          <w:sz w:val="28"/>
          <w:szCs w:val="28"/>
        </w:rPr>
        <w:t>подпись</w:t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="00462AE1">
        <w:rPr>
          <w:rFonts w:ascii="Times New Roman" w:hAnsi="Times New Roman" w:cs="Times New Roman"/>
          <w:sz w:val="28"/>
          <w:szCs w:val="28"/>
        </w:rPr>
        <w:tab/>
      </w:r>
      <w:r w:rsidRPr="00D94548">
        <w:rPr>
          <w:rFonts w:ascii="Times New Roman" w:hAnsi="Times New Roman" w:cs="Times New Roman"/>
          <w:sz w:val="28"/>
          <w:szCs w:val="28"/>
        </w:rPr>
        <w:tab/>
      </w:r>
      <w:r w:rsidRPr="00D945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4548">
        <w:rPr>
          <w:rFonts w:ascii="Times New Roman" w:hAnsi="Times New Roman" w:cs="Times New Roman"/>
          <w:sz w:val="28"/>
          <w:szCs w:val="28"/>
        </w:rPr>
        <w:t>О.В.Чернюк</w:t>
      </w:r>
      <w:proofErr w:type="spellEnd"/>
    </w:p>
    <w:sectPr w:rsidR="00FE288C" w:rsidRPr="00D94548" w:rsidSect="009043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 w:rsidP="0086061A">
      <w:pPr>
        <w:spacing w:after="0" w:line="240" w:lineRule="auto"/>
      </w:pPr>
      <w:r>
        <w:separator/>
      </w:r>
    </w:p>
  </w:endnote>
  <w:end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 w:rsidP="0086061A">
      <w:pPr>
        <w:spacing w:after="0" w:line="240" w:lineRule="auto"/>
      </w:pPr>
      <w:r>
        <w:separator/>
      </w:r>
    </w:p>
  </w:footnote>
  <w:foot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footnote>
  <w:footnote w:id="1">
    <w:p w:rsidR="0086061A" w:rsidRPr="0086061A" w:rsidRDefault="0086061A" w:rsidP="0086061A">
      <w:pPr>
        <w:pStyle w:val="a7"/>
        <w:jc w:val="both"/>
        <w:rPr>
          <w:rFonts w:ascii="Times New Roman" w:hAnsi="Times New Roman" w:cs="Times New Roman"/>
        </w:rPr>
      </w:pPr>
      <w:r w:rsidRPr="0086061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Общество обязано осуществить закупку товаров, работ, услуг, включенных в настоящий Перечень, </w:t>
      </w:r>
      <w:r w:rsidR="00F27932">
        <w:rPr>
          <w:rFonts w:ascii="Times New Roman" w:hAnsi="Times New Roman" w:cs="Times New Roman"/>
        </w:rPr>
        <w:t xml:space="preserve">только у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если начальная (максимальная) цена договора (цена лота) составляет до </w:t>
      </w:r>
      <w:r w:rsidR="003836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миллионов рублей. Если начальная (максимальная) цена договора </w:t>
      </w:r>
      <w:r w:rsidR="00F27932">
        <w:rPr>
          <w:rFonts w:ascii="Times New Roman" w:hAnsi="Times New Roman" w:cs="Times New Roman"/>
        </w:rPr>
        <w:t xml:space="preserve">превышает </w:t>
      </w:r>
      <w:r w:rsidR="003836B4">
        <w:rPr>
          <w:rFonts w:ascii="Times New Roman" w:hAnsi="Times New Roman" w:cs="Times New Roman"/>
        </w:rPr>
        <w:t>200</w:t>
      </w:r>
      <w:r w:rsidR="00F27932">
        <w:rPr>
          <w:rFonts w:ascii="Times New Roman" w:hAnsi="Times New Roman" w:cs="Times New Roman"/>
        </w:rPr>
        <w:t xml:space="preserve"> мил</w:t>
      </w:r>
      <w:r w:rsidR="003836B4">
        <w:rPr>
          <w:rFonts w:ascii="Times New Roman" w:hAnsi="Times New Roman" w:cs="Times New Roman"/>
        </w:rPr>
        <w:t>лионов рублей (но не превышает 4</w:t>
      </w:r>
      <w:r w:rsidR="00F27932">
        <w:rPr>
          <w:rFonts w:ascii="Times New Roman" w:hAnsi="Times New Roman" w:cs="Times New Roman"/>
        </w:rPr>
        <w:t xml:space="preserve">00 миллионов рублей), то Общество может осуществить закупку как у субъектов малого и среднего предпринимательства, так и у других лиц.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6"/>
    <w:rsid w:val="000225EF"/>
    <w:rsid w:val="00047D92"/>
    <w:rsid w:val="000726A5"/>
    <w:rsid w:val="000C26A1"/>
    <w:rsid w:val="0012556D"/>
    <w:rsid w:val="00174B26"/>
    <w:rsid w:val="00184F7B"/>
    <w:rsid w:val="001C1369"/>
    <w:rsid w:val="001C6607"/>
    <w:rsid w:val="001E7071"/>
    <w:rsid w:val="0021031A"/>
    <w:rsid w:val="00235777"/>
    <w:rsid w:val="002802C7"/>
    <w:rsid w:val="002B01E9"/>
    <w:rsid w:val="002C77A3"/>
    <w:rsid w:val="00306E36"/>
    <w:rsid w:val="003238EF"/>
    <w:rsid w:val="00353214"/>
    <w:rsid w:val="003836B4"/>
    <w:rsid w:val="00395E60"/>
    <w:rsid w:val="003B3A57"/>
    <w:rsid w:val="004010D7"/>
    <w:rsid w:val="00430853"/>
    <w:rsid w:val="004463EB"/>
    <w:rsid w:val="00447DC2"/>
    <w:rsid w:val="00451E41"/>
    <w:rsid w:val="00455814"/>
    <w:rsid w:val="00462AE1"/>
    <w:rsid w:val="004B276A"/>
    <w:rsid w:val="00536E69"/>
    <w:rsid w:val="0054372D"/>
    <w:rsid w:val="005748B0"/>
    <w:rsid w:val="005902B3"/>
    <w:rsid w:val="005A33A6"/>
    <w:rsid w:val="005A34E7"/>
    <w:rsid w:val="006207E7"/>
    <w:rsid w:val="00632315"/>
    <w:rsid w:val="0064009C"/>
    <w:rsid w:val="00645B54"/>
    <w:rsid w:val="0067338B"/>
    <w:rsid w:val="00676F52"/>
    <w:rsid w:val="006D2944"/>
    <w:rsid w:val="00712128"/>
    <w:rsid w:val="00724AF9"/>
    <w:rsid w:val="007353EE"/>
    <w:rsid w:val="00784BEB"/>
    <w:rsid w:val="007913E0"/>
    <w:rsid w:val="007B1D80"/>
    <w:rsid w:val="007B2564"/>
    <w:rsid w:val="0083210B"/>
    <w:rsid w:val="00835004"/>
    <w:rsid w:val="00841050"/>
    <w:rsid w:val="008561E3"/>
    <w:rsid w:val="0086061A"/>
    <w:rsid w:val="00894AD6"/>
    <w:rsid w:val="008A397B"/>
    <w:rsid w:val="008C2360"/>
    <w:rsid w:val="0090392C"/>
    <w:rsid w:val="009043AD"/>
    <w:rsid w:val="00917AE6"/>
    <w:rsid w:val="00930C2B"/>
    <w:rsid w:val="00945308"/>
    <w:rsid w:val="00994715"/>
    <w:rsid w:val="009B467B"/>
    <w:rsid w:val="00A6163E"/>
    <w:rsid w:val="00A6201C"/>
    <w:rsid w:val="00A82DA0"/>
    <w:rsid w:val="00A906B6"/>
    <w:rsid w:val="00AA0AF4"/>
    <w:rsid w:val="00AA56A9"/>
    <w:rsid w:val="00B11C49"/>
    <w:rsid w:val="00B11DB9"/>
    <w:rsid w:val="00B33AD0"/>
    <w:rsid w:val="00B82AF2"/>
    <w:rsid w:val="00B83EFA"/>
    <w:rsid w:val="00BA060B"/>
    <w:rsid w:val="00BE1696"/>
    <w:rsid w:val="00BF08C7"/>
    <w:rsid w:val="00C40FF0"/>
    <w:rsid w:val="00C82734"/>
    <w:rsid w:val="00CC6200"/>
    <w:rsid w:val="00CE797B"/>
    <w:rsid w:val="00CF1822"/>
    <w:rsid w:val="00D23725"/>
    <w:rsid w:val="00D35323"/>
    <w:rsid w:val="00D35692"/>
    <w:rsid w:val="00D432DA"/>
    <w:rsid w:val="00D9260E"/>
    <w:rsid w:val="00D94548"/>
    <w:rsid w:val="00DA4C1E"/>
    <w:rsid w:val="00DC33AF"/>
    <w:rsid w:val="00DD633B"/>
    <w:rsid w:val="00DE4879"/>
    <w:rsid w:val="00E01286"/>
    <w:rsid w:val="00E028F9"/>
    <w:rsid w:val="00E74F2B"/>
    <w:rsid w:val="00EF512B"/>
    <w:rsid w:val="00F04AE4"/>
    <w:rsid w:val="00F2642B"/>
    <w:rsid w:val="00F27932"/>
    <w:rsid w:val="00F41404"/>
    <w:rsid w:val="00F7088D"/>
    <w:rsid w:val="00F95D52"/>
    <w:rsid w:val="00FC264B"/>
    <w:rsid w:val="00FC310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pd/okpd2/kod0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B61C-07FD-426C-A0B7-FBA93AD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Алена Николаевна</dc:creator>
  <cp:lastModifiedBy>Шергина Ирина Васильевна</cp:lastModifiedBy>
  <cp:revision>2</cp:revision>
  <cp:lastPrinted>2018-01-10T06:33:00Z</cp:lastPrinted>
  <dcterms:created xsi:type="dcterms:W3CDTF">2018-01-10T11:44:00Z</dcterms:created>
  <dcterms:modified xsi:type="dcterms:W3CDTF">2018-01-10T11:44:00Z</dcterms:modified>
</cp:coreProperties>
</file>